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56174">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bCs/>
          <w:color w:val="auto"/>
          <w:sz w:val="48"/>
          <w:highlight w:val="none"/>
        </w:rPr>
      </w:pPr>
      <w:bookmarkStart w:id="0" w:name="_Toc169487773"/>
    </w:p>
    <w:p w14:paraId="6245DE06">
      <w:pPr>
        <w:jc w:val="center"/>
        <w:rPr>
          <w:rFonts w:hint="eastAsia" w:ascii="宋体" w:hAnsi="宋体" w:cs="宋体"/>
          <w:b/>
          <w:bCs/>
          <w:color w:val="auto"/>
          <w:kern w:val="0"/>
          <w:sz w:val="40"/>
          <w:szCs w:val="40"/>
        </w:rPr>
      </w:pPr>
      <w:r>
        <w:rPr>
          <w:rFonts w:hint="eastAsia" w:ascii="宋体" w:hAnsi="宋体" w:cs="宋体"/>
          <w:b/>
          <w:bCs/>
          <w:color w:val="auto"/>
          <w:kern w:val="0"/>
          <w:sz w:val="40"/>
          <w:szCs w:val="40"/>
        </w:rPr>
        <w:drawing>
          <wp:inline distT="0" distB="0" distL="114300" distR="114300">
            <wp:extent cx="3394710" cy="1625600"/>
            <wp:effectExtent l="0" t="0" r="15240" b="12700"/>
            <wp:docPr id="3" name="图片 1" descr="656ed0eb31af95c301f7566ab88cd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656ed0eb31af95c301f7566ab88cd72"/>
                    <pic:cNvPicPr>
                      <a:picLocks noChangeAspect="1"/>
                    </pic:cNvPicPr>
                  </pic:nvPicPr>
                  <pic:blipFill>
                    <a:blip r:embed="rId14"/>
                    <a:stretch>
                      <a:fillRect/>
                    </a:stretch>
                  </pic:blipFill>
                  <pic:spPr>
                    <a:xfrm>
                      <a:off x="0" y="0"/>
                      <a:ext cx="3394710" cy="1625600"/>
                    </a:xfrm>
                    <a:prstGeom prst="rect">
                      <a:avLst/>
                    </a:prstGeom>
                    <a:noFill/>
                    <a:ln>
                      <a:noFill/>
                    </a:ln>
                  </pic:spPr>
                </pic:pic>
              </a:graphicData>
            </a:graphic>
          </wp:inline>
        </w:drawing>
      </w:r>
    </w:p>
    <w:p w14:paraId="51B8CCF2">
      <w:pPr>
        <w:jc w:val="center"/>
        <w:rPr>
          <w:rFonts w:hint="eastAsia" w:ascii="宋体" w:hAnsi="宋体" w:eastAsia="宋体"/>
          <w:color w:val="auto"/>
          <w:sz w:val="72"/>
          <w:highlight w:val="none"/>
        </w:rPr>
      </w:pPr>
      <w:r>
        <w:rPr>
          <w:rFonts w:hint="eastAsia" w:ascii="宋体" w:hAnsi="宋体" w:eastAsia="宋体"/>
          <w:b/>
          <w:color w:val="auto"/>
          <w:sz w:val="84"/>
          <w:highlight w:val="none"/>
        </w:rPr>
        <w:t>招 标 文 件</w:t>
      </w:r>
    </w:p>
    <w:p w14:paraId="7398B90F">
      <w:pPr>
        <w:keepNext w:val="0"/>
        <w:keepLines w:val="0"/>
        <w:pageBreakBefore w:val="0"/>
        <w:widowControl w:val="0"/>
        <w:kinsoku/>
        <w:wordWrap/>
        <w:overflowPunct/>
        <w:topLinePunct w:val="0"/>
        <w:autoSpaceDE/>
        <w:autoSpaceDN/>
        <w:bidi w:val="0"/>
        <w:adjustRightInd/>
        <w:snapToGrid/>
        <w:spacing w:before="219" w:beforeLines="50" w:line="360" w:lineRule="auto"/>
        <w:ind w:left="1146" w:leftChars="358" w:firstLine="840" w:firstLineChars="300"/>
        <w:jc w:val="both"/>
        <w:textAlignment w:val="auto"/>
        <w:rPr>
          <w:rFonts w:hint="default" w:ascii="宋体" w:hAnsi="宋体" w:eastAsia="宋体"/>
          <w:bCs/>
          <w:color w:val="auto"/>
          <w:sz w:val="28"/>
          <w:highlight w:val="none"/>
          <w:u w:val="none"/>
          <w:lang w:val="en-US" w:eastAsia="zh-CN"/>
        </w:rPr>
      </w:pPr>
      <w:r>
        <w:rPr>
          <w:rFonts w:hint="eastAsia" w:ascii="宋体" w:hAnsi="宋体" w:eastAsia="宋体"/>
          <w:bCs/>
          <w:color w:val="auto"/>
          <w:sz w:val="28"/>
          <w:highlight w:val="none"/>
          <w:u w:val="none"/>
        </w:rPr>
        <w:t>项目编号：浙广咨【2024】(</w:t>
      </w:r>
      <w:r>
        <w:rPr>
          <w:rFonts w:hint="eastAsia" w:ascii="宋体" w:hAnsi="宋体" w:eastAsia="宋体"/>
          <w:bCs/>
          <w:color w:val="auto"/>
          <w:sz w:val="28"/>
          <w:highlight w:val="none"/>
          <w:u w:val="none"/>
          <w:lang w:val="en-US" w:eastAsia="zh-CN"/>
        </w:rPr>
        <w:t>招</w:t>
      </w:r>
      <w:r>
        <w:rPr>
          <w:rFonts w:hint="eastAsia" w:ascii="宋体" w:hAnsi="宋体" w:eastAsia="宋体"/>
          <w:bCs/>
          <w:color w:val="auto"/>
          <w:sz w:val="28"/>
          <w:highlight w:val="none"/>
          <w:u w:val="none"/>
        </w:rPr>
        <w:t>）第</w:t>
      </w:r>
      <w:r>
        <w:rPr>
          <w:rFonts w:hint="eastAsia" w:ascii="宋体" w:hAnsi="宋体" w:eastAsia="宋体"/>
          <w:bCs/>
          <w:color w:val="auto"/>
          <w:sz w:val="28"/>
          <w:highlight w:val="none"/>
          <w:u w:val="none"/>
          <w:lang w:val="en-US" w:eastAsia="zh-CN"/>
        </w:rPr>
        <w:t>121</w:t>
      </w:r>
      <w:r>
        <w:rPr>
          <w:rFonts w:hint="eastAsia" w:ascii="宋体" w:hAnsi="宋体" w:eastAsia="宋体"/>
          <w:bCs/>
          <w:color w:val="auto"/>
          <w:sz w:val="28"/>
          <w:highlight w:val="none"/>
          <w:u w:val="none"/>
        </w:rPr>
        <w:t>号</w:t>
      </w:r>
    </w:p>
    <w:p w14:paraId="35821196">
      <w:pPr>
        <w:spacing w:line="360" w:lineRule="auto"/>
        <w:ind w:left="1148"/>
        <w:jc w:val="center"/>
        <w:rPr>
          <w:rFonts w:ascii="宋体" w:hAnsi="宋体" w:eastAsia="宋体"/>
          <w:color w:val="auto"/>
          <w:w w:val="150"/>
          <w:sz w:val="36"/>
          <w:highlight w:val="none"/>
        </w:rPr>
      </w:pPr>
    </w:p>
    <w:p w14:paraId="1D8A70B9">
      <w:pPr>
        <w:spacing w:line="360" w:lineRule="auto"/>
        <w:ind w:left="1146" w:leftChars="358"/>
        <w:rPr>
          <w:rFonts w:hint="eastAsia" w:ascii="宋体" w:hAnsi="宋体" w:eastAsia="宋体"/>
          <w:bCs/>
          <w:color w:val="auto"/>
          <w:sz w:val="28"/>
          <w:highlight w:val="none"/>
        </w:rPr>
      </w:pPr>
    </w:p>
    <w:p w14:paraId="27C79A21">
      <w:pPr>
        <w:spacing w:line="480" w:lineRule="auto"/>
        <w:ind w:left="1146" w:leftChars="358"/>
        <w:rPr>
          <w:rFonts w:hint="default" w:ascii="宋体" w:hAnsi="宋体" w:eastAsia="宋体" w:cs="宋体"/>
          <w:color w:val="auto"/>
          <w:sz w:val="30"/>
          <w:szCs w:val="30"/>
          <w:highlight w:val="none"/>
          <w:u w:val="single"/>
          <w:lang w:val="en-US" w:eastAsia="zh-CN"/>
        </w:rPr>
      </w:pPr>
      <w:r>
        <w:rPr>
          <w:rFonts w:hint="eastAsia" w:ascii="宋体" w:hAnsi="宋体" w:eastAsia="宋体"/>
          <w:bCs/>
          <w:color w:val="auto"/>
          <w:sz w:val="30"/>
          <w:szCs w:val="30"/>
          <w:highlight w:val="none"/>
        </w:rPr>
        <w:t>招标项目：</w:t>
      </w:r>
      <w:r>
        <w:rPr>
          <w:rFonts w:hint="eastAsia" w:ascii="宋体" w:hAnsi="宋体" w:eastAsia="宋体" w:cs="宋体"/>
          <w:color w:val="auto"/>
          <w:sz w:val="30"/>
          <w:szCs w:val="30"/>
          <w:highlight w:val="none"/>
          <w:u w:val="single"/>
          <w:lang w:eastAsia="zh-CN"/>
        </w:rPr>
        <w:t>天和大厦钢结构除锈工程</w:t>
      </w:r>
      <w:r>
        <w:rPr>
          <w:rFonts w:hint="eastAsia" w:ascii="宋体" w:hAnsi="宋体" w:eastAsia="宋体" w:cs="宋体"/>
          <w:color w:val="auto"/>
          <w:sz w:val="30"/>
          <w:szCs w:val="30"/>
          <w:highlight w:val="none"/>
          <w:u w:val="single"/>
          <w:lang w:val="en-US" w:eastAsia="zh-CN"/>
        </w:rPr>
        <w:t xml:space="preserve">         </w:t>
      </w:r>
    </w:p>
    <w:p w14:paraId="71E7EC03">
      <w:pPr>
        <w:spacing w:line="480" w:lineRule="auto"/>
        <w:ind w:left="1149" w:leftChars="359"/>
        <w:rPr>
          <w:rFonts w:hint="eastAsia" w:ascii="宋体" w:hAnsi="宋体" w:eastAsia="宋体"/>
          <w:bCs/>
          <w:color w:val="auto"/>
          <w:sz w:val="30"/>
          <w:szCs w:val="30"/>
          <w:highlight w:val="none"/>
        </w:rPr>
      </w:pPr>
      <w:r>
        <w:rPr>
          <w:rFonts w:hint="eastAsia" w:ascii="宋体" w:hAnsi="宋体" w:eastAsia="宋体"/>
          <w:color w:val="auto"/>
          <w:sz w:val="30"/>
          <w:szCs w:val="30"/>
          <w:highlight w:val="none"/>
        </w:rPr>
        <w:t xml:space="preserve">招 标 </w:t>
      </w:r>
      <w:r>
        <w:rPr>
          <w:rFonts w:hint="eastAsia" w:ascii="宋体" w:hAnsi="宋体" w:eastAsia="宋体"/>
          <w:bCs/>
          <w:color w:val="auto"/>
          <w:sz w:val="30"/>
          <w:szCs w:val="30"/>
          <w:highlight w:val="none"/>
        </w:rPr>
        <w:t>人：</w:t>
      </w:r>
      <w:r>
        <w:rPr>
          <w:rFonts w:hint="eastAsia" w:ascii="宋体" w:hAnsi="宋体" w:eastAsia="宋体"/>
          <w:color w:val="auto"/>
          <w:sz w:val="30"/>
          <w:szCs w:val="30"/>
          <w:highlight w:val="none"/>
          <w:u w:val="single"/>
          <w:lang w:eastAsia="zh-CN"/>
        </w:rPr>
        <w:t>浙江台州高速公路集团股份有限公司</w:t>
      </w:r>
      <w:r>
        <w:rPr>
          <w:rFonts w:hint="eastAsia" w:ascii="宋体" w:hAnsi="宋体" w:eastAsia="宋体"/>
          <w:bCs/>
          <w:color w:val="auto"/>
          <w:sz w:val="30"/>
          <w:szCs w:val="30"/>
          <w:highlight w:val="none"/>
        </w:rPr>
        <w:t>（盖章）</w:t>
      </w:r>
    </w:p>
    <w:p w14:paraId="70636217">
      <w:pPr>
        <w:spacing w:line="480" w:lineRule="auto"/>
        <w:ind w:left="1148"/>
        <w:rPr>
          <w:rFonts w:hint="eastAsia" w:ascii="宋体" w:hAnsi="宋体" w:eastAsia="宋体"/>
          <w:bCs/>
          <w:color w:val="auto"/>
          <w:sz w:val="30"/>
          <w:szCs w:val="30"/>
          <w:highlight w:val="none"/>
          <w:lang w:eastAsia="zh-CN"/>
        </w:rPr>
      </w:pPr>
      <w:r>
        <w:rPr>
          <w:rFonts w:hint="eastAsia" w:ascii="宋体" w:hAnsi="宋体" w:eastAsia="宋体"/>
          <w:bCs/>
          <w:color w:val="auto"/>
          <w:sz w:val="30"/>
          <w:szCs w:val="30"/>
          <w:highlight w:val="none"/>
        </w:rPr>
        <w:t>联 系 人：</w:t>
      </w:r>
      <w:r>
        <w:rPr>
          <w:rFonts w:hint="eastAsia" w:ascii="宋体" w:hAnsi="宋体" w:eastAsia="宋体"/>
          <w:color w:val="auto"/>
          <w:sz w:val="30"/>
          <w:szCs w:val="30"/>
          <w:highlight w:val="none"/>
          <w:u w:val="single"/>
          <w:lang w:eastAsia="zh-CN"/>
        </w:rPr>
        <w:t>王先生</w:t>
      </w:r>
      <w:r>
        <w:rPr>
          <w:rFonts w:hint="eastAsia" w:ascii="宋体" w:hAnsi="宋体" w:eastAsia="宋体"/>
          <w:color w:val="auto"/>
          <w:sz w:val="30"/>
          <w:szCs w:val="30"/>
          <w:highlight w:val="none"/>
          <w:u w:val="single"/>
        </w:rPr>
        <w:t xml:space="preserve">  </w:t>
      </w:r>
      <w:r>
        <w:rPr>
          <w:rFonts w:hint="eastAsia" w:ascii="宋体" w:hAnsi="宋体" w:eastAsia="宋体"/>
          <w:color w:val="auto"/>
          <w:sz w:val="30"/>
          <w:szCs w:val="30"/>
          <w:highlight w:val="none"/>
        </w:rPr>
        <w:t xml:space="preserve">  联系电话：</w:t>
      </w:r>
      <w:r>
        <w:rPr>
          <w:rFonts w:hint="eastAsia" w:ascii="宋体" w:hAnsi="宋体" w:eastAsia="宋体"/>
          <w:color w:val="auto"/>
          <w:sz w:val="30"/>
          <w:szCs w:val="30"/>
          <w:highlight w:val="none"/>
          <w:u w:val="single"/>
          <w:lang w:eastAsia="zh-CN"/>
        </w:rPr>
        <w:t>15067658441</w:t>
      </w:r>
    </w:p>
    <w:p w14:paraId="6D19028B">
      <w:pPr>
        <w:spacing w:line="480" w:lineRule="auto"/>
        <w:rPr>
          <w:rFonts w:hint="eastAsia" w:ascii="宋体" w:hAnsi="宋体" w:eastAsia="宋体"/>
          <w:color w:val="auto"/>
          <w:sz w:val="30"/>
          <w:szCs w:val="30"/>
          <w:highlight w:val="none"/>
        </w:rPr>
      </w:pPr>
      <w:r>
        <w:rPr>
          <w:rFonts w:ascii="宋体" w:hAnsi="宋体" w:eastAsia="宋体"/>
          <w:color w:val="auto"/>
          <w:sz w:val="30"/>
          <w:szCs w:val="30"/>
          <w:highlight w:val="none"/>
        </w:rPr>
        <w:t xml:space="preserve">        </w:t>
      </w:r>
      <w:r>
        <w:rPr>
          <w:rFonts w:hint="eastAsia" w:ascii="宋体" w:hAnsi="宋体" w:eastAsia="宋体"/>
          <w:color w:val="auto"/>
          <w:sz w:val="30"/>
          <w:szCs w:val="30"/>
          <w:highlight w:val="none"/>
        </w:rPr>
        <w:t>招标代理机构：</w:t>
      </w:r>
      <w:r>
        <w:rPr>
          <w:rFonts w:hint="eastAsia" w:ascii="宋体" w:hAnsi="宋体" w:eastAsia="宋体"/>
          <w:color w:val="auto"/>
          <w:sz w:val="30"/>
          <w:szCs w:val="30"/>
          <w:highlight w:val="none"/>
          <w:u w:val="single"/>
          <w:lang w:eastAsia="zh-CN"/>
        </w:rPr>
        <w:t>浙江广通工程咨询有限公司</w:t>
      </w:r>
      <w:r>
        <w:rPr>
          <w:rFonts w:hint="eastAsia" w:ascii="宋体" w:hAnsi="宋体" w:eastAsia="宋体"/>
          <w:color w:val="auto"/>
          <w:sz w:val="30"/>
          <w:szCs w:val="30"/>
          <w:highlight w:val="none"/>
        </w:rPr>
        <w:t>（盖章）</w:t>
      </w:r>
    </w:p>
    <w:p w14:paraId="3199634D">
      <w:pPr>
        <w:spacing w:line="480" w:lineRule="auto"/>
        <w:ind w:firstLine="1200" w:firstLineChars="400"/>
        <w:rPr>
          <w:rFonts w:hint="eastAsia" w:ascii="宋体" w:hAnsi="宋体" w:eastAsia="宋体"/>
          <w:color w:val="auto"/>
          <w:sz w:val="30"/>
          <w:szCs w:val="30"/>
          <w:highlight w:val="none"/>
          <w:u w:val="single"/>
          <w:lang w:eastAsia="zh-CN"/>
        </w:rPr>
      </w:pPr>
      <w:r>
        <w:rPr>
          <w:rFonts w:hint="eastAsia" w:ascii="宋体" w:hAnsi="宋体" w:eastAsia="宋体"/>
          <w:color w:val="auto"/>
          <w:sz w:val="30"/>
          <w:szCs w:val="30"/>
          <w:highlight w:val="none"/>
        </w:rPr>
        <w:t>代理项目负责人：</w:t>
      </w:r>
      <w:r>
        <w:rPr>
          <w:rFonts w:hint="eastAsia" w:ascii="宋体" w:hAnsi="宋体" w:eastAsia="宋体"/>
          <w:color w:val="auto"/>
          <w:sz w:val="30"/>
          <w:szCs w:val="30"/>
          <w:highlight w:val="none"/>
          <w:u w:val="single"/>
          <w:lang w:eastAsia="zh-CN"/>
        </w:rPr>
        <w:t>朱先生</w:t>
      </w:r>
      <w:r>
        <w:rPr>
          <w:rFonts w:hint="eastAsia" w:ascii="宋体" w:hAnsi="宋体" w:eastAsia="宋体"/>
          <w:color w:val="auto"/>
          <w:sz w:val="30"/>
          <w:szCs w:val="30"/>
          <w:highlight w:val="none"/>
          <w:u w:val="single"/>
          <w:lang w:val="en-US" w:eastAsia="zh-CN"/>
        </w:rPr>
        <w:t xml:space="preserve">  </w:t>
      </w:r>
      <w:r>
        <w:rPr>
          <w:rFonts w:hint="eastAsia" w:ascii="宋体" w:hAnsi="宋体" w:eastAsia="宋体"/>
          <w:color w:val="auto"/>
          <w:sz w:val="30"/>
          <w:szCs w:val="30"/>
          <w:highlight w:val="none"/>
        </w:rPr>
        <w:t>联系电话：</w:t>
      </w:r>
      <w:r>
        <w:rPr>
          <w:rFonts w:hint="eastAsia" w:ascii="宋体" w:hAnsi="宋体" w:eastAsia="宋体"/>
          <w:color w:val="auto"/>
          <w:sz w:val="30"/>
          <w:szCs w:val="30"/>
          <w:highlight w:val="none"/>
          <w:u w:val="single"/>
          <w:lang w:eastAsia="zh-CN"/>
        </w:rPr>
        <w:t>13738574909</w:t>
      </w:r>
    </w:p>
    <w:p w14:paraId="77993111">
      <w:pPr>
        <w:spacing w:line="360" w:lineRule="auto"/>
        <w:rPr>
          <w:rFonts w:hint="eastAsia" w:ascii="宋体" w:hAnsi="宋体" w:eastAsia="宋体"/>
          <w:color w:val="auto"/>
          <w:sz w:val="30"/>
          <w:highlight w:val="none"/>
        </w:rPr>
      </w:pPr>
    </w:p>
    <w:p w14:paraId="11668AA7">
      <w:pPr>
        <w:pStyle w:val="2"/>
        <w:rPr>
          <w:rFonts w:hint="eastAsia" w:ascii="宋体" w:hAnsi="宋体" w:eastAsia="宋体"/>
          <w:color w:val="auto"/>
          <w:sz w:val="30"/>
          <w:highlight w:val="none"/>
        </w:rPr>
      </w:pPr>
    </w:p>
    <w:p w14:paraId="248DF043">
      <w:pPr>
        <w:pStyle w:val="4"/>
        <w:rPr>
          <w:rFonts w:hint="eastAsia"/>
          <w:color w:val="auto"/>
        </w:rPr>
      </w:pPr>
    </w:p>
    <w:p w14:paraId="0405CFB3">
      <w:pPr>
        <w:spacing w:line="360" w:lineRule="auto"/>
        <w:jc w:val="center"/>
        <w:rPr>
          <w:rFonts w:hint="eastAsia" w:ascii="宋体" w:hAnsi="宋体" w:eastAsia="宋体"/>
          <w:color w:val="auto"/>
          <w:sz w:val="28"/>
          <w:highlight w:val="none"/>
        </w:rPr>
      </w:pPr>
    </w:p>
    <w:p w14:paraId="7ECBC660">
      <w:pPr>
        <w:spacing w:line="480" w:lineRule="auto"/>
        <w:ind w:firstLine="1200" w:firstLineChars="400"/>
        <w:jc w:val="center"/>
        <w:rPr>
          <w:rFonts w:hint="eastAsia" w:ascii="宋体" w:hAnsi="宋体" w:eastAsia="宋体"/>
          <w:color w:val="auto"/>
          <w:sz w:val="30"/>
          <w:szCs w:val="30"/>
          <w:highlight w:val="none"/>
        </w:rPr>
      </w:pPr>
    </w:p>
    <w:p w14:paraId="36138C50">
      <w:pPr>
        <w:spacing w:line="480" w:lineRule="auto"/>
        <w:ind w:firstLine="3300" w:firstLineChars="1100"/>
        <w:jc w:val="both"/>
        <w:rPr>
          <w:rFonts w:hint="eastAsia" w:ascii="宋体" w:hAnsi="宋体" w:eastAsia="宋体"/>
          <w:color w:val="auto"/>
          <w:sz w:val="30"/>
          <w:szCs w:val="30"/>
          <w:highlight w:val="none"/>
        </w:rPr>
      </w:pPr>
      <w:r>
        <w:rPr>
          <w:rFonts w:hint="eastAsia" w:ascii="宋体" w:hAnsi="宋体" w:eastAsia="宋体"/>
          <w:color w:val="auto"/>
          <w:sz w:val="30"/>
          <w:szCs w:val="30"/>
          <w:highlight w:val="none"/>
        </w:rPr>
        <w:t>二O二四年十月</w:t>
      </w:r>
    </w:p>
    <w:p w14:paraId="73FD3348">
      <w:pPr>
        <w:spacing w:line="360" w:lineRule="auto"/>
        <w:rPr>
          <w:rFonts w:ascii="宋体" w:hAnsi="宋体" w:eastAsia="宋体"/>
          <w:color w:val="auto"/>
          <w:sz w:val="24"/>
          <w:szCs w:val="24"/>
          <w:highlight w:val="none"/>
        </w:rPr>
        <w:sectPr>
          <w:headerReference r:id="rId4" w:type="first"/>
          <w:headerReference r:id="rId3" w:type="default"/>
          <w:footerReference r:id="rId5" w:type="default"/>
          <w:footnotePr>
            <w:numRestart w:val="eachPage"/>
          </w:footnotePr>
          <w:endnotePr>
            <w:numRestart w:val="eachSect"/>
          </w:endnotePr>
          <w:pgSz w:w="11907" w:h="16840"/>
          <w:pgMar w:top="1247" w:right="1361" w:bottom="1247" w:left="1361" w:header="851" w:footer="851" w:gutter="0"/>
          <w:cols w:space="720" w:num="1"/>
          <w:docGrid w:linePitch="435" w:charSpace="-6554"/>
        </w:sectPr>
      </w:pPr>
    </w:p>
    <w:p w14:paraId="3C83EF1F">
      <w:pPr>
        <w:pStyle w:val="5"/>
        <w:ind w:left="0" w:leftChars="0" w:firstLine="0" w:firstLineChars="0"/>
        <w:jc w:val="center"/>
        <w:rPr>
          <w:rFonts w:hint="eastAsia"/>
          <w:color w:val="auto"/>
          <w:highlight w:val="none"/>
        </w:rPr>
      </w:pPr>
      <w:r>
        <w:rPr>
          <w:rFonts w:hint="eastAsia"/>
          <w:color w:val="auto"/>
          <w:highlight w:val="none"/>
        </w:rPr>
        <w:t>投标须知前附表</w:t>
      </w:r>
      <w:bookmarkEnd w:id="0"/>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22"/>
        <w:gridCol w:w="6797"/>
      </w:tblGrid>
      <w:tr w14:paraId="25D3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82" w:type="dxa"/>
            <w:noWrap w:val="0"/>
            <w:vAlign w:val="center"/>
          </w:tcPr>
          <w:p w14:paraId="0263B9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22" w:type="dxa"/>
            <w:noWrap w:val="0"/>
            <w:vAlign w:val="center"/>
          </w:tcPr>
          <w:p w14:paraId="672616E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  容</w:t>
            </w:r>
          </w:p>
        </w:tc>
        <w:tc>
          <w:tcPr>
            <w:tcW w:w="6797" w:type="dxa"/>
            <w:noWrap w:val="0"/>
            <w:vAlign w:val="center"/>
          </w:tcPr>
          <w:p w14:paraId="411E24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说明与要求</w:t>
            </w:r>
          </w:p>
        </w:tc>
      </w:tr>
      <w:tr w14:paraId="7012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14:paraId="0B19D4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2" w:type="dxa"/>
            <w:tcBorders>
              <w:bottom w:val="single" w:color="auto" w:sz="4" w:space="0"/>
            </w:tcBorders>
            <w:noWrap w:val="0"/>
            <w:vAlign w:val="center"/>
          </w:tcPr>
          <w:p w14:paraId="62460A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p>
        </w:tc>
        <w:tc>
          <w:tcPr>
            <w:tcW w:w="6797" w:type="dxa"/>
            <w:tcBorders>
              <w:bottom w:val="single" w:color="auto" w:sz="4" w:space="0"/>
            </w:tcBorders>
            <w:noWrap w:val="0"/>
            <w:vAlign w:val="center"/>
          </w:tcPr>
          <w:p w14:paraId="6482322B">
            <w:pPr>
              <w:adjustRightInd w:val="0"/>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天和大厦钢结构除锈工程</w:t>
            </w:r>
          </w:p>
        </w:tc>
      </w:tr>
      <w:tr w14:paraId="2192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14:paraId="638F4A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22" w:type="dxa"/>
            <w:tcBorders>
              <w:bottom w:val="single" w:color="auto" w:sz="4" w:space="0"/>
            </w:tcBorders>
            <w:noWrap w:val="0"/>
            <w:vAlign w:val="center"/>
          </w:tcPr>
          <w:p w14:paraId="028C80A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6797" w:type="dxa"/>
            <w:tcBorders>
              <w:bottom w:val="single" w:color="auto" w:sz="4" w:space="0"/>
            </w:tcBorders>
            <w:noWrap w:val="0"/>
            <w:vAlign w:val="center"/>
          </w:tcPr>
          <w:p w14:paraId="1A95C15D">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台州市椒江区天和路95号</w:t>
            </w:r>
          </w:p>
        </w:tc>
      </w:tr>
      <w:tr w14:paraId="5318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682" w:type="dxa"/>
            <w:tcBorders>
              <w:bottom w:val="single" w:color="auto" w:sz="4" w:space="0"/>
            </w:tcBorders>
            <w:noWrap w:val="0"/>
            <w:vAlign w:val="center"/>
          </w:tcPr>
          <w:p w14:paraId="289E877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22" w:type="dxa"/>
            <w:tcBorders>
              <w:bottom w:val="single" w:color="auto" w:sz="4" w:space="0"/>
            </w:tcBorders>
            <w:noWrap w:val="0"/>
            <w:vAlign w:val="center"/>
          </w:tcPr>
          <w:p w14:paraId="134E5C0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6797" w:type="dxa"/>
            <w:tcBorders>
              <w:bottom w:val="single" w:color="auto" w:sz="4" w:space="0"/>
            </w:tcBorders>
            <w:noWrap w:val="0"/>
            <w:vAlign w:val="center"/>
          </w:tcPr>
          <w:p w14:paraId="35A88C1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详见发包人提供的施工图</w:t>
            </w:r>
          </w:p>
        </w:tc>
      </w:tr>
      <w:tr w14:paraId="407B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14:paraId="170C7B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22" w:type="dxa"/>
            <w:tcBorders>
              <w:bottom w:val="single" w:color="auto" w:sz="4" w:space="0"/>
            </w:tcBorders>
            <w:noWrap w:val="0"/>
            <w:vAlign w:val="center"/>
          </w:tcPr>
          <w:p w14:paraId="4EF35F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承包方式</w:t>
            </w:r>
          </w:p>
        </w:tc>
        <w:tc>
          <w:tcPr>
            <w:tcW w:w="6797" w:type="dxa"/>
            <w:tcBorders>
              <w:bottom w:val="single" w:color="auto" w:sz="4" w:space="0"/>
            </w:tcBorders>
            <w:noWrap w:val="0"/>
            <w:vAlign w:val="center"/>
          </w:tcPr>
          <w:p w14:paraId="53AF42FB">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包工包料</w:t>
            </w:r>
          </w:p>
        </w:tc>
      </w:tr>
      <w:tr w14:paraId="3F31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14:paraId="74CA7D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22" w:type="dxa"/>
            <w:tcBorders>
              <w:bottom w:val="single" w:color="auto" w:sz="4" w:space="0"/>
            </w:tcBorders>
            <w:noWrap w:val="0"/>
            <w:vAlign w:val="center"/>
          </w:tcPr>
          <w:p w14:paraId="4A9A27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6797" w:type="dxa"/>
            <w:tcBorders>
              <w:bottom w:val="single" w:color="auto" w:sz="4" w:space="0"/>
            </w:tcBorders>
            <w:noWrap w:val="0"/>
            <w:vAlign w:val="center"/>
          </w:tcPr>
          <w:p w14:paraId="62EECDDA">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r>
      <w:tr w14:paraId="4764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14:paraId="6151B3C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22" w:type="dxa"/>
            <w:tcBorders>
              <w:bottom w:val="single" w:color="auto" w:sz="4" w:space="0"/>
            </w:tcBorders>
            <w:noWrap w:val="0"/>
            <w:vAlign w:val="center"/>
          </w:tcPr>
          <w:p w14:paraId="3FFC72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工期要求</w:t>
            </w:r>
          </w:p>
        </w:tc>
        <w:tc>
          <w:tcPr>
            <w:tcW w:w="6797" w:type="dxa"/>
            <w:tcBorders>
              <w:bottom w:val="single" w:color="auto" w:sz="4" w:space="0"/>
            </w:tcBorders>
            <w:noWrap w:val="0"/>
            <w:vAlign w:val="center"/>
          </w:tcPr>
          <w:p w14:paraId="027D0F2B">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日历天 </w:t>
            </w:r>
          </w:p>
        </w:tc>
      </w:tr>
      <w:tr w14:paraId="2C4D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82" w:type="dxa"/>
            <w:noWrap w:val="0"/>
            <w:vAlign w:val="center"/>
          </w:tcPr>
          <w:p w14:paraId="29CADDE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22" w:type="dxa"/>
            <w:noWrap w:val="0"/>
            <w:vAlign w:val="center"/>
          </w:tcPr>
          <w:p w14:paraId="1870B3D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797" w:type="dxa"/>
            <w:noWrap w:val="0"/>
            <w:vAlign w:val="center"/>
          </w:tcPr>
          <w:p w14:paraId="687B05C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公开招标</w:t>
            </w:r>
          </w:p>
        </w:tc>
      </w:tr>
      <w:tr w14:paraId="4A5D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82" w:type="dxa"/>
            <w:noWrap w:val="0"/>
            <w:vAlign w:val="center"/>
          </w:tcPr>
          <w:p w14:paraId="505F86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22" w:type="dxa"/>
            <w:noWrap w:val="0"/>
            <w:vAlign w:val="center"/>
          </w:tcPr>
          <w:p w14:paraId="46B1FC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797" w:type="dxa"/>
            <w:noWrap w:val="0"/>
            <w:vAlign w:val="center"/>
          </w:tcPr>
          <w:p w14:paraId="55F7A09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招标人提供的施工图纸及工程量清单所包含</w:t>
            </w:r>
            <w:r>
              <w:rPr>
                <w:rFonts w:hint="eastAsia" w:ascii="宋体" w:hAnsi="宋体" w:eastAsia="宋体" w:cs="宋体"/>
                <w:color w:val="auto"/>
                <w:sz w:val="21"/>
                <w:szCs w:val="21"/>
                <w:highlight w:val="none"/>
                <w:lang w:val="en-US" w:eastAsia="zh-CN"/>
              </w:rPr>
              <w:t>的室外塔楼顶层钢结构构架梁、柱等结构构件除锈、刷</w:t>
            </w:r>
            <w:r>
              <w:rPr>
                <w:rFonts w:hint="eastAsia" w:ascii="宋体" w:hAnsi="宋体" w:eastAsia="宋体" w:cs="宋体"/>
                <w:color w:val="auto"/>
                <w:sz w:val="24"/>
                <w:szCs w:val="24"/>
                <w:highlight w:val="none"/>
                <w:lang w:val="en-US" w:eastAsia="zh-CN"/>
              </w:rPr>
              <w:t>漆、刷防火涂料</w:t>
            </w:r>
            <w:r>
              <w:rPr>
                <w:rFonts w:hint="eastAsia" w:ascii="宋体" w:hAnsi="宋体" w:eastAsia="宋体" w:cs="宋体"/>
                <w:color w:val="auto"/>
                <w:sz w:val="21"/>
                <w:szCs w:val="21"/>
                <w:highlight w:val="none"/>
              </w:rPr>
              <w:t>工程等，具体内容见招标人提供的工程量清单。</w:t>
            </w:r>
          </w:p>
        </w:tc>
      </w:tr>
      <w:tr w14:paraId="02AE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682" w:type="dxa"/>
            <w:tcBorders>
              <w:bottom w:val="single" w:color="auto" w:sz="4" w:space="0"/>
            </w:tcBorders>
            <w:noWrap w:val="0"/>
            <w:vAlign w:val="center"/>
          </w:tcPr>
          <w:p w14:paraId="2305E40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722" w:type="dxa"/>
            <w:tcBorders>
              <w:bottom w:val="single" w:color="auto" w:sz="4" w:space="0"/>
            </w:tcBorders>
            <w:noWrap w:val="0"/>
            <w:vAlign w:val="center"/>
          </w:tcPr>
          <w:p w14:paraId="2F3B50B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797" w:type="dxa"/>
            <w:tcBorders>
              <w:bottom w:val="single" w:color="auto" w:sz="4" w:space="0"/>
            </w:tcBorders>
            <w:noWrap w:val="0"/>
            <w:vAlign w:val="center"/>
          </w:tcPr>
          <w:p w14:paraId="2831EEE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2C15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82" w:type="dxa"/>
            <w:tcBorders>
              <w:bottom w:val="single" w:color="auto" w:sz="4" w:space="0"/>
            </w:tcBorders>
            <w:noWrap w:val="0"/>
            <w:vAlign w:val="center"/>
          </w:tcPr>
          <w:p w14:paraId="1AB2B11C">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722" w:type="dxa"/>
            <w:tcBorders>
              <w:bottom w:val="single" w:color="auto" w:sz="4" w:space="0"/>
            </w:tcBorders>
            <w:noWrap w:val="0"/>
            <w:vAlign w:val="center"/>
          </w:tcPr>
          <w:p w14:paraId="49810A4E">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797" w:type="dxa"/>
            <w:tcBorders>
              <w:bottom w:val="single" w:color="auto" w:sz="4" w:space="0"/>
            </w:tcBorders>
            <w:noWrap w:val="0"/>
            <w:vAlign w:val="center"/>
          </w:tcPr>
          <w:p w14:paraId="33895DBB">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1798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82" w:type="dxa"/>
            <w:tcBorders>
              <w:bottom w:val="single" w:color="auto" w:sz="4" w:space="0"/>
            </w:tcBorders>
            <w:noWrap w:val="0"/>
            <w:vAlign w:val="center"/>
          </w:tcPr>
          <w:p w14:paraId="5EC87F51">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22" w:type="dxa"/>
            <w:tcBorders>
              <w:bottom w:val="single" w:color="auto" w:sz="4" w:space="0"/>
            </w:tcBorders>
            <w:noWrap w:val="0"/>
            <w:vAlign w:val="center"/>
          </w:tcPr>
          <w:p w14:paraId="68EAAC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w:t>
            </w:r>
          </w:p>
        </w:tc>
        <w:tc>
          <w:tcPr>
            <w:tcW w:w="6797" w:type="dxa"/>
            <w:tcBorders>
              <w:bottom w:val="single" w:color="auto" w:sz="4" w:space="0"/>
            </w:tcBorders>
            <w:noWrap w:val="0"/>
            <w:vAlign w:val="center"/>
          </w:tcPr>
          <w:p w14:paraId="1F38CA6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工程施工总承包三级及以上</w:t>
            </w:r>
          </w:p>
        </w:tc>
      </w:tr>
      <w:tr w14:paraId="7943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2" w:type="dxa"/>
            <w:noWrap w:val="0"/>
            <w:vAlign w:val="center"/>
          </w:tcPr>
          <w:p w14:paraId="2A26BA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22" w:type="dxa"/>
            <w:noWrap w:val="0"/>
            <w:vAlign w:val="center"/>
          </w:tcPr>
          <w:p w14:paraId="3D45D3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项目负责人要求</w:t>
            </w:r>
          </w:p>
        </w:tc>
        <w:tc>
          <w:tcPr>
            <w:tcW w:w="6797" w:type="dxa"/>
            <w:noWrap w:val="0"/>
            <w:vAlign w:val="center"/>
          </w:tcPr>
          <w:p w14:paraId="49E7E86B">
            <w:pPr>
              <w:adjustRightInd w:val="0"/>
              <w:snapToGrid w:val="0"/>
              <w:spacing w:after="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工程专业注册建造师</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级</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（建造师临时执业证书无效）</w:t>
            </w:r>
          </w:p>
        </w:tc>
      </w:tr>
      <w:tr w14:paraId="3291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82" w:type="dxa"/>
            <w:noWrap w:val="0"/>
            <w:vAlign w:val="center"/>
          </w:tcPr>
          <w:p w14:paraId="3D80EFB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722" w:type="dxa"/>
            <w:noWrap w:val="0"/>
            <w:vAlign w:val="center"/>
          </w:tcPr>
          <w:p w14:paraId="4666CB1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投标人确定方式</w:t>
            </w:r>
          </w:p>
        </w:tc>
        <w:tc>
          <w:tcPr>
            <w:tcW w:w="6797" w:type="dxa"/>
            <w:noWrap w:val="0"/>
            <w:vAlign w:val="center"/>
          </w:tcPr>
          <w:p w14:paraId="62BA3BF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资格后审</w:t>
            </w:r>
          </w:p>
        </w:tc>
      </w:tr>
      <w:tr w14:paraId="1E44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82" w:type="dxa"/>
            <w:noWrap w:val="0"/>
            <w:vAlign w:val="center"/>
          </w:tcPr>
          <w:p w14:paraId="5E3202C5">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722" w:type="dxa"/>
            <w:noWrap w:val="0"/>
            <w:vAlign w:val="center"/>
          </w:tcPr>
          <w:p w14:paraId="5E36C25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投标文件组成</w:t>
            </w:r>
          </w:p>
        </w:tc>
        <w:tc>
          <w:tcPr>
            <w:tcW w:w="6797" w:type="dxa"/>
            <w:noWrap w:val="0"/>
            <w:vAlign w:val="top"/>
          </w:tcPr>
          <w:p w14:paraId="4B48E88A">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投标文件由资信技术标、商务标两部分组成：</w:t>
            </w:r>
          </w:p>
          <w:p w14:paraId="28F98F76">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1、资信技术标：</w:t>
            </w:r>
          </w:p>
          <w:p w14:paraId="0421CC1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（1）台州市建设工程诚信投标承诺书（格式见附件）；</w:t>
            </w:r>
          </w:p>
          <w:p w14:paraId="1A39C0A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（2）《建筑业企业资质证书》</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若为住房和城乡建设部同意企业资质电子化试点的省、市可提供企业电子资质证书），投标人提供的《建筑业企业资质证书》上的有关内容真实性均以全国建筑市场监管公共服务平台查询网址：http：//jzsc.mohurd.gov.cn/（或省、直辖市相应平台）中查询结果为准；</w:t>
            </w:r>
          </w:p>
          <w:p w14:paraId="1C8CCA1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如资质证书过期的，在全国建筑市场监管公共服务平台上查询在有效期内的或在《住房城乡建设部关于核准2023年度第一批（二、三、四批）建设工程企业资质延续名单的公告》及后续批次名单内的（该批次公告须在投标截止时间之前），其企业资质证书有效。注意：各投标人在投标时资质证书无论是否过期，均须按招标文件要求提供，否则按无效标处理</w:t>
            </w:r>
            <w:r>
              <w:rPr>
                <w:rFonts w:hint="eastAsia" w:ascii="宋体" w:hAnsi="宋体" w:eastAsia="宋体" w:cs="宋体"/>
                <w:color w:val="auto"/>
                <w:sz w:val="21"/>
                <w:szCs w:val="21"/>
                <w:highlight w:val="none"/>
                <w:u w:val="single"/>
                <w:lang w:eastAsia="zh-CN"/>
              </w:rPr>
              <w:t>。</w:t>
            </w:r>
          </w:p>
          <w:p w14:paraId="3BB0246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负责人的《项目负责人建造师注册证书》（《建造师临时执业证书》不予认可）复印件。若为住房和城乡建设部同意的建设领域从业人员有关证书电子化试点的省、市，可提供从业人员的电子证书打印件。以全国建筑市场监管公共服务平台查询网址：http://jzsc.mohurd.gov.cn/（或省、直辖市相应平台）中查询结果为准；</w:t>
            </w:r>
          </w:p>
          <w:p w14:paraId="367C5A3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（4）《省外企业进浙承接业务备案证明》复印件或“浙江省建筑市场监管公共服务系统”对外发布的通过审核形成的备案信息网页截图打印件（</w:t>
            </w:r>
            <w:r>
              <w:rPr>
                <w:rFonts w:hint="eastAsia" w:ascii="宋体" w:hAnsi="宋体" w:eastAsia="宋体" w:cs="宋体"/>
                <w:b/>
                <w:bCs/>
                <w:i/>
                <w:iCs/>
                <w:color w:val="auto"/>
                <w:sz w:val="21"/>
                <w:szCs w:val="21"/>
                <w:highlight w:val="none"/>
              </w:rPr>
              <w:t>仅指浙江省省外企业</w:t>
            </w:r>
            <w:r>
              <w:rPr>
                <w:rFonts w:hint="eastAsia" w:ascii="宋体" w:hAnsi="宋体" w:eastAsia="宋体" w:cs="宋体"/>
                <w:color w:val="auto"/>
                <w:sz w:val="21"/>
                <w:szCs w:val="21"/>
                <w:highlight w:val="none"/>
              </w:rPr>
              <w:t>）；</w:t>
            </w:r>
          </w:p>
          <w:p w14:paraId="2F351FB1">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（5）主要施工机械设备表（格式见附件）；</w:t>
            </w:r>
          </w:p>
          <w:p w14:paraId="5E257736">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（6）项目管理机构配备表（格式见附件）；</w:t>
            </w:r>
          </w:p>
          <w:p w14:paraId="36D26848">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（7）项目</w:t>
            </w:r>
            <w:r>
              <w:rPr>
                <w:rFonts w:hint="eastAsia" w:ascii="宋体" w:hAnsi="宋体" w:eastAsia="宋体" w:cs="宋体"/>
                <w:color w:val="auto"/>
                <w:sz w:val="21"/>
                <w:szCs w:val="21"/>
                <w:highlight w:val="none"/>
                <w:lang w:val="en-US" w:eastAsia="zh-CN"/>
              </w:rPr>
              <w:t>实施人员一览</w:t>
            </w:r>
            <w:r>
              <w:rPr>
                <w:rFonts w:hint="eastAsia" w:ascii="宋体" w:hAnsi="宋体" w:eastAsia="宋体" w:cs="宋体"/>
                <w:color w:val="auto"/>
                <w:sz w:val="21"/>
                <w:szCs w:val="21"/>
                <w:highlight w:val="none"/>
              </w:rPr>
              <w:t>表（格式见附件）；</w:t>
            </w:r>
          </w:p>
          <w:p w14:paraId="3D6F88A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）技术文件（投标人根据招标文件评标办法内容自行编制）；</w:t>
            </w:r>
          </w:p>
          <w:p w14:paraId="201B523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）其他证明材料（如有）。</w:t>
            </w:r>
          </w:p>
          <w:p w14:paraId="28366FCC">
            <w:pPr>
              <w:keepNext w:val="0"/>
              <w:keepLines w:val="0"/>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2、商务标：</w:t>
            </w:r>
          </w:p>
          <w:p w14:paraId="55B6400D">
            <w:pPr>
              <w:keepNext w:val="0"/>
              <w:keepLines w:val="0"/>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（1）投标函（格式见附件）。</w:t>
            </w:r>
          </w:p>
        </w:tc>
      </w:tr>
      <w:tr w14:paraId="52CC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682" w:type="dxa"/>
            <w:noWrap w:val="0"/>
            <w:vAlign w:val="center"/>
          </w:tcPr>
          <w:p w14:paraId="7E70D107">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22" w:type="dxa"/>
            <w:noWrap w:val="0"/>
            <w:vAlign w:val="center"/>
          </w:tcPr>
          <w:p w14:paraId="6B812E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797" w:type="dxa"/>
            <w:noWrap w:val="0"/>
            <w:vAlign w:val="center"/>
          </w:tcPr>
          <w:p w14:paraId="74F316F7">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1、投标人应使用招标文件中提供的附件格式。表格如不够用时，可以按同样格式扩展。</w:t>
            </w:r>
          </w:p>
          <w:p w14:paraId="4745F59E">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2、投标文件所用的纸张</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color w:val="auto"/>
                <w:sz w:val="21"/>
                <w:szCs w:val="21"/>
                <w:highlight w:val="none"/>
              </w:rPr>
              <w:t>采用A4幅面。</w:t>
            </w:r>
          </w:p>
          <w:p w14:paraId="4347A6E7">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3、投标文件的文字说明和文字标注均须采用中文。</w:t>
            </w:r>
          </w:p>
          <w:p w14:paraId="4FE4BD45">
            <w:pPr>
              <w:adjustRightInd w:val="0"/>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“资信技术标”总页数不得超过20页（如有封面、封底、目录等的，则含封面、封底、目录等所有内容），否则按无效标处理。</w:t>
            </w:r>
          </w:p>
        </w:tc>
      </w:tr>
      <w:tr w14:paraId="72EF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2" w:type="dxa"/>
            <w:noWrap w:val="0"/>
            <w:vAlign w:val="center"/>
          </w:tcPr>
          <w:p w14:paraId="0A409F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722" w:type="dxa"/>
            <w:noWrap w:val="0"/>
            <w:vAlign w:val="center"/>
          </w:tcPr>
          <w:p w14:paraId="0CC9DA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6797" w:type="dxa"/>
            <w:noWrap w:val="0"/>
            <w:vAlign w:val="center"/>
          </w:tcPr>
          <w:p w14:paraId="3FA9AA7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总价报价</w:t>
            </w:r>
          </w:p>
        </w:tc>
      </w:tr>
      <w:tr w14:paraId="1ECD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trPr>
        <w:tc>
          <w:tcPr>
            <w:tcW w:w="682" w:type="dxa"/>
            <w:noWrap w:val="0"/>
            <w:vAlign w:val="center"/>
          </w:tcPr>
          <w:p w14:paraId="319F72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722" w:type="dxa"/>
            <w:noWrap w:val="0"/>
            <w:vAlign w:val="center"/>
          </w:tcPr>
          <w:p w14:paraId="39777F9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项目预算</w:t>
            </w:r>
            <w:r>
              <w:rPr>
                <w:rFonts w:hint="eastAsia" w:ascii="宋体" w:hAnsi="宋体" w:eastAsia="宋体" w:cs="宋体"/>
                <w:color w:val="auto"/>
                <w:sz w:val="21"/>
                <w:szCs w:val="21"/>
                <w:highlight w:val="none"/>
              </w:rPr>
              <w:t>及</w:t>
            </w:r>
          </w:p>
          <w:p w14:paraId="0E763C68">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6797" w:type="dxa"/>
            <w:noWrap w:val="0"/>
            <w:vAlign w:val="center"/>
          </w:tcPr>
          <w:p w14:paraId="6064B1AB">
            <w:pPr>
              <w:adjustRightInd w:val="0"/>
              <w:snapToGrid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项目预算</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u w:val="single"/>
                <w:lang w:eastAsia="zh-CN"/>
              </w:rPr>
              <w:t>226458</w:t>
            </w:r>
            <w:r>
              <w:rPr>
                <w:rFonts w:hint="eastAsia" w:ascii="宋体" w:hAnsi="宋体" w:eastAsia="宋体" w:cs="宋体"/>
                <w:b/>
                <w:bCs/>
                <w:color w:val="auto"/>
                <w:sz w:val="21"/>
                <w:szCs w:val="21"/>
                <w:highlight w:val="none"/>
              </w:rPr>
              <w:t>元；</w:t>
            </w:r>
          </w:p>
          <w:p w14:paraId="0904443E">
            <w:pPr>
              <w:adjustRightInd w:val="0"/>
              <w:snapToGrid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最高投标限价：</w:t>
            </w:r>
            <w:r>
              <w:rPr>
                <w:rFonts w:hint="eastAsia" w:ascii="宋体" w:hAnsi="宋体" w:eastAsia="宋体" w:cs="宋体"/>
                <w:b/>
                <w:bCs/>
                <w:color w:val="auto"/>
                <w:sz w:val="21"/>
                <w:szCs w:val="21"/>
                <w:highlight w:val="none"/>
                <w:u w:val="single"/>
                <w:lang w:val="en-US" w:eastAsia="zh-CN"/>
              </w:rPr>
              <w:t>203812</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项目预算</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90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p>
          <w:p w14:paraId="573F5732">
            <w:pPr>
              <w:adjustRightInd w:val="0"/>
              <w:snapToGrid w:val="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投标人的投标总报价超过最高投标限价的，作无效标处理。</w:t>
            </w:r>
          </w:p>
        </w:tc>
      </w:tr>
      <w:tr w14:paraId="2AAD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682" w:type="dxa"/>
            <w:noWrap w:val="0"/>
            <w:vAlign w:val="center"/>
          </w:tcPr>
          <w:p w14:paraId="02902D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722" w:type="dxa"/>
            <w:noWrap w:val="0"/>
            <w:vAlign w:val="center"/>
          </w:tcPr>
          <w:p w14:paraId="7E8414C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投标担保要求</w:t>
            </w:r>
          </w:p>
        </w:tc>
        <w:tc>
          <w:tcPr>
            <w:tcW w:w="6797" w:type="dxa"/>
            <w:noWrap w:val="0"/>
            <w:vAlign w:val="center"/>
          </w:tcPr>
          <w:p w14:paraId="10EF6A5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1、投标担保金额：</w:t>
            </w:r>
            <w:r>
              <w:rPr>
                <w:rFonts w:hint="eastAsia" w:ascii="宋体" w:hAnsi="宋体" w:eastAsia="宋体" w:cs="宋体"/>
                <w:b/>
                <w:bCs/>
                <w:color w:val="auto"/>
                <w:sz w:val="21"/>
                <w:szCs w:val="21"/>
                <w:highlight w:val="none"/>
              </w:rPr>
              <w:t>人民币</w:t>
            </w:r>
            <w:r>
              <w:rPr>
                <w:rFonts w:hint="eastAsia" w:ascii="宋体" w:hAnsi="宋体" w:eastAsia="宋体" w:cs="宋体"/>
                <w:b/>
                <w:bCs/>
                <w:color w:val="auto"/>
                <w:sz w:val="21"/>
                <w:szCs w:val="21"/>
                <w:highlight w:val="none"/>
                <w:lang w:val="en-US" w:eastAsia="zh-CN"/>
              </w:rPr>
              <w:t>5000</w:t>
            </w:r>
            <w:r>
              <w:rPr>
                <w:rFonts w:hint="eastAsia" w:ascii="宋体" w:hAnsi="宋体" w:eastAsia="宋体" w:cs="宋体"/>
                <w:b/>
                <w:bCs/>
                <w:color w:val="auto"/>
                <w:sz w:val="21"/>
                <w:szCs w:val="21"/>
                <w:highlight w:val="none"/>
              </w:rPr>
              <w:t>元</w:t>
            </w:r>
            <w:r>
              <w:rPr>
                <w:rFonts w:hint="eastAsia" w:ascii="宋体" w:hAnsi="宋体" w:eastAsia="宋体" w:cs="宋体"/>
                <w:color w:val="auto"/>
                <w:sz w:val="21"/>
                <w:szCs w:val="21"/>
                <w:highlight w:val="none"/>
              </w:rPr>
              <w:t>。</w:t>
            </w:r>
          </w:p>
          <w:p w14:paraId="11AE2FA9">
            <w:pPr>
              <w:ind w:right="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2、担保形式：现金。投标人在投标文件提交截止时间前提交投标保证金（未按要求提交投标保证金的，拒绝接收投标文件）。</w:t>
            </w:r>
          </w:p>
        </w:tc>
      </w:tr>
      <w:tr w14:paraId="5548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682" w:type="dxa"/>
            <w:noWrap w:val="0"/>
            <w:vAlign w:val="center"/>
          </w:tcPr>
          <w:p w14:paraId="508F1E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722" w:type="dxa"/>
            <w:noWrap w:val="0"/>
            <w:vAlign w:val="center"/>
          </w:tcPr>
          <w:p w14:paraId="1FF80E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797" w:type="dxa"/>
            <w:noWrap w:val="0"/>
            <w:vAlign w:val="center"/>
          </w:tcPr>
          <w:p w14:paraId="1EE931B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90日历天（自投标截止日起计算）</w:t>
            </w:r>
          </w:p>
        </w:tc>
      </w:tr>
      <w:tr w14:paraId="5DB5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682" w:type="dxa"/>
            <w:noWrap w:val="0"/>
            <w:vAlign w:val="center"/>
          </w:tcPr>
          <w:p w14:paraId="2AC4CF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722" w:type="dxa"/>
            <w:noWrap w:val="0"/>
            <w:vAlign w:val="center"/>
          </w:tcPr>
          <w:p w14:paraId="139B81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6797" w:type="dxa"/>
            <w:noWrap w:val="0"/>
            <w:vAlign w:val="center"/>
          </w:tcPr>
          <w:p w14:paraId="492858F4">
            <w:pPr>
              <w:numPr>
                <w:ilvl w:val="0"/>
                <w:numId w:val="4"/>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资信技术标：正本一份、副本四份</w:t>
            </w:r>
          </w:p>
          <w:p w14:paraId="38FCD03C">
            <w:pPr>
              <w:numPr>
                <w:ilvl w:val="0"/>
                <w:numId w:val="4"/>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商务标：正本一份、副本四份</w:t>
            </w:r>
          </w:p>
        </w:tc>
      </w:tr>
      <w:tr w14:paraId="0CAD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682" w:type="dxa"/>
            <w:noWrap w:val="0"/>
            <w:vAlign w:val="center"/>
          </w:tcPr>
          <w:p w14:paraId="0D92E4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722" w:type="dxa"/>
            <w:noWrap w:val="0"/>
            <w:vAlign w:val="center"/>
          </w:tcPr>
          <w:p w14:paraId="653890D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投标文件密封及装订</w:t>
            </w:r>
          </w:p>
        </w:tc>
        <w:tc>
          <w:tcPr>
            <w:tcW w:w="6797" w:type="dxa"/>
            <w:noWrap w:val="0"/>
            <w:vAlign w:val="center"/>
          </w:tcPr>
          <w:p w14:paraId="660A9355">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资信技术标、商务标必须分开编制装订并单独密封提交。</w:t>
            </w:r>
          </w:p>
        </w:tc>
      </w:tr>
      <w:tr w14:paraId="3E47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682" w:type="dxa"/>
            <w:noWrap w:val="0"/>
            <w:vAlign w:val="center"/>
          </w:tcPr>
          <w:p w14:paraId="10430C3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722" w:type="dxa"/>
            <w:noWrap w:val="0"/>
            <w:vAlign w:val="center"/>
          </w:tcPr>
          <w:p w14:paraId="28CA66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投标文件提交地点与开标地点</w:t>
            </w:r>
          </w:p>
        </w:tc>
        <w:tc>
          <w:tcPr>
            <w:tcW w:w="6797" w:type="dxa"/>
            <w:noWrap w:val="0"/>
            <w:vAlign w:val="center"/>
          </w:tcPr>
          <w:p w14:paraId="6FCB4C56">
            <w:pPr>
              <w:rPr>
                <w:rFonts w:hint="default" w:ascii="宋体" w:hAnsi="宋体" w:eastAsia="仿宋_GB2312" w:cs="宋体"/>
                <w:b/>
                <w:color w:val="auto"/>
                <w:sz w:val="21"/>
                <w:szCs w:val="21"/>
                <w:highlight w:val="none"/>
                <w:lang w:val="en-US" w:eastAsia="zh-CN"/>
              </w:rPr>
            </w:pPr>
            <w:r>
              <w:rPr>
                <w:rFonts w:hint="eastAsia" w:ascii="宋体" w:hAnsi="宋体" w:eastAsia="宋体" w:cs="宋体"/>
                <w:b/>
                <w:bCs/>
                <w:color w:val="auto"/>
                <w:sz w:val="21"/>
                <w:szCs w:val="21"/>
                <w:highlight w:val="none"/>
              </w:rPr>
              <w:t>台州市椒江区</w:t>
            </w:r>
            <w:r>
              <w:rPr>
                <w:rFonts w:hint="eastAsia" w:ascii="宋体" w:hAnsi="宋体" w:eastAsia="宋体" w:cs="宋体"/>
                <w:b/>
                <w:bCs/>
                <w:color w:val="auto"/>
                <w:sz w:val="21"/>
                <w:szCs w:val="21"/>
                <w:highlight w:val="none"/>
                <w:lang w:val="en-US" w:eastAsia="zh-CN"/>
              </w:rPr>
              <w:t>天和大厦2213室</w:t>
            </w:r>
          </w:p>
        </w:tc>
      </w:tr>
      <w:tr w14:paraId="52C5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682" w:type="dxa"/>
            <w:noWrap w:val="0"/>
            <w:vAlign w:val="center"/>
          </w:tcPr>
          <w:p w14:paraId="1BD595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722" w:type="dxa"/>
            <w:noWrap w:val="0"/>
            <w:vAlign w:val="center"/>
          </w:tcPr>
          <w:p w14:paraId="4EF4C1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提交投标文件截止时间与开标</w:t>
            </w:r>
          </w:p>
          <w:p w14:paraId="02C7AA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6797" w:type="dxa"/>
            <w:noWrap w:val="0"/>
            <w:vAlign w:val="center"/>
          </w:tcPr>
          <w:p w14:paraId="18372332">
            <w:pP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en-US" w:eastAsia="zh-CN"/>
              </w:rPr>
              <w:t>18</w:t>
            </w:r>
            <w:r>
              <w:rPr>
                <w:rFonts w:hint="eastAsia" w:ascii="宋体" w:hAnsi="宋体" w:eastAsia="宋体" w:cs="宋体"/>
                <w:b/>
                <w:color w:val="auto"/>
                <w:sz w:val="21"/>
                <w:szCs w:val="21"/>
                <w:highlight w:val="none"/>
              </w:rPr>
              <w:t>日</w:t>
            </w:r>
            <w:r>
              <w:rPr>
                <w:rFonts w:hint="eastAsia" w:ascii="宋体" w:hAnsi="宋体" w:eastAsia="宋体" w:cs="宋体"/>
                <w:b/>
                <w:color w:val="auto"/>
                <w:sz w:val="21"/>
                <w:szCs w:val="21"/>
                <w:highlight w:val="none"/>
                <w:lang w:val="en-US" w:eastAsia="zh-CN"/>
              </w:rPr>
              <w:t>09</w:t>
            </w:r>
            <w:r>
              <w:rPr>
                <w:rFonts w:hint="eastAsia" w:ascii="宋体" w:hAnsi="宋体" w:eastAsia="宋体" w:cs="宋体"/>
                <w:b/>
                <w:color w:val="auto"/>
                <w:sz w:val="21"/>
                <w:szCs w:val="21"/>
                <w:highlight w:val="none"/>
              </w:rPr>
              <w:t>时</w:t>
            </w:r>
            <w:r>
              <w:rPr>
                <w:rFonts w:hint="eastAsia" w:ascii="宋体" w:hAnsi="宋体" w:eastAsia="宋体" w:cs="宋体"/>
                <w:b/>
                <w:color w:val="auto"/>
                <w:sz w:val="21"/>
                <w:szCs w:val="21"/>
                <w:highlight w:val="none"/>
                <w:lang w:val="en-US" w:eastAsia="zh-CN"/>
              </w:rPr>
              <w:t>00</w:t>
            </w:r>
            <w:r>
              <w:rPr>
                <w:rFonts w:hint="eastAsia" w:ascii="宋体" w:hAnsi="宋体" w:eastAsia="宋体" w:cs="宋体"/>
                <w:b/>
                <w:color w:val="auto"/>
                <w:sz w:val="21"/>
                <w:szCs w:val="21"/>
                <w:highlight w:val="none"/>
              </w:rPr>
              <w:t>分（北京时间）</w:t>
            </w:r>
          </w:p>
        </w:tc>
      </w:tr>
      <w:tr w14:paraId="6CE0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exact"/>
        </w:trPr>
        <w:tc>
          <w:tcPr>
            <w:tcW w:w="682" w:type="dxa"/>
            <w:noWrap w:val="0"/>
            <w:vAlign w:val="center"/>
          </w:tcPr>
          <w:p w14:paraId="2B63A2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722" w:type="dxa"/>
            <w:noWrap w:val="0"/>
            <w:vAlign w:val="center"/>
          </w:tcPr>
          <w:p w14:paraId="0AA453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投标文件递交要求</w:t>
            </w:r>
          </w:p>
        </w:tc>
        <w:tc>
          <w:tcPr>
            <w:tcW w:w="6797" w:type="dxa"/>
            <w:noWrap w:val="0"/>
            <w:vAlign w:val="center"/>
          </w:tcPr>
          <w:p w14:paraId="466BC391">
            <w:pPr>
              <w:pStyle w:val="15"/>
              <w:adjustRightInd w:val="0"/>
              <w:snapToGrid w:val="0"/>
              <w:ind w:left="0" w:lef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1、投标人提交投标文件、投标保证金；</w:t>
            </w:r>
          </w:p>
          <w:p w14:paraId="291E0039">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投标人下列人员经招标人（招标代理机构）确认身份后再签名报到，以证明其出席开标会议：投标人法定代表人或委托代理人（必须出具本工程授权委托书原件，参考格式见附件）再签名报到，以证明其出席开标会议。</w:t>
            </w:r>
          </w:p>
        </w:tc>
      </w:tr>
      <w:tr w14:paraId="0B23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682" w:type="dxa"/>
            <w:noWrap w:val="0"/>
            <w:vAlign w:val="center"/>
          </w:tcPr>
          <w:p w14:paraId="361FC1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722" w:type="dxa"/>
            <w:noWrap w:val="0"/>
            <w:vAlign w:val="center"/>
          </w:tcPr>
          <w:p w14:paraId="21304F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w:t>
            </w:r>
          </w:p>
        </w:tc>
        <w:tc>
          <w:tcPr>
            <w:tcW w:w="6797" w:type="dxa"/>
            <w:noWrap w:val="0"/>
            <w:vAlign w:val="center"/>
          </w:tcPr>
          <w:p w14:paraId="0ABF55C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本项目先进行资信技术标评审，待资信技术标评审完毕并宣布后再进行商务标评审。</w:t>
            </w:r>
          </w:p>
        </w:tc>
      </w:tr>
      <w:tr w14:paraId="6D79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82" w:type="dxa"/>
            <w:noWrap w:val="0"/>
            <w:vAlign w:val="center"/>
          </w:tcPr>
          <w:p w14:paraId="4700ACD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722" w:type="dxa"/>
            <w:noWrap w:val="0"/>
            <w:vAlign w:val="center"/>
          </w:tcPr>
          <w:p w14:paraId="22094C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6797" w:type="dxa"/>
            <w:noWrap w:val="0"/>
            <w:vAlign w:val="center"/>
          </w:tcPr>
          <w:p w14:paraId="3A71822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详见本招标文件第五章</w:t>
            </w:r>
          </w:p>
        </w:tc>
      </w:tr>
      <w:tr w14:paraId="7CB1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682" w:type="dxa"/>
            <w:noWrap w:val="0"/>
            <w:vAlign w:val="center"/>
          </w:tcPr>
          <w:p w14:paraId="44C13D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722" w:type="dxa"/>
            <w:noWrap w:val="0"/>
            <w:vAlign w:val="center"/>
          </w:tcPr>
          <w:p w14:paraId="1B6E601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履约担保金额</w:t>
            </w:r>
          </w:p>
        </w:tc>
        <w:tc>
          <w:tcPr>
            <w:tcW w:w="6797" w:type="dxa"/>
            <w:noWrap w:val="0"/>
            <w:vAlign w:val="center"/>
          </w:tcPr>
          <w:p w14:paraId="1C230E2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中标人按中标合同金额的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%提交履约担保。</w:t>
            </w:r>
          </w:p>
          <w:p w14:paraId="10DDC2C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中标人按招标文件规定办理担保，如不能办理工程保函而采用现金的，中标人必须通过其基本账户转出的转帐、电汇或银行汇票方式解入招标人指定帐户。如办理保函的，须采用连带责任形式的保函。</w:t>
            </w:r>
          </w:p>
        </w:tc>
      </w:tr>
    </w:tbl>
    <w:p w14:paraId="4B113DDB">
      <w:pPr>
        <w:spacing w:line="360" w:lineRule="exact"/>
        <w:jc w:val="center"/>
        <w:rPr>
          <w:rFonts w:ascii="宋体" w:hAnsi="宋体" w:eastAsia="宋体"/>
          <w:color w:val="auto"/>
          <w:sz w:val="21"/>
          <w:highlight w:val="none"/>
        </w:rPr>
        <w:sectPr>
          <w:headerReference r:id="rId6" w:type="default"/>
          <w:footerReference r:id="rId7" w:type="default"/>
          <w:footnotePr>
            <w:numRestart w:val="eachPage"/>
          </w:footnotePr>
          <w:endnotePr>
            <w:numRestart w:val="eachSect"/>
          </w:endnotePr>
          <w:pgSz w:w="11907" w:h="16840"/>
          <w:pgMar w:top="1247" w:right="1361" w:bottom="1247" w:left="1361" w:header="851" w:footer="824" w:gutter="0"/>
          <w:pgNumType w:start="1"/>
          <w:cols w:space="720" w:num="1"/>
          <w:docGrid w:linePitch="435" w:charSpace="-6554"/>
        </w:sectPr>
      </w:pPr>
    </w:p>
    <w:p w14:paraId="4B3463F7">
      <w:pPr>
        <w:pStyle w:val="5"/>
        <w:ind w:left="0"/>
        <w:rPr>
          <w:rFonts w:hint="eastAsia"/>
          <w:color w:val="auto"/>
          <w:highlight w:val="none"/>
        </w:rPr>
      </w:pPr>
      <w:bookmarkStart w:id="1" w:name="_Toc169487774"/>
      <w:bookmarkStart w:id="2" w:name="_Toc500209412"/>
      <w:bookmarkStart w:id="3" w:name="_Toc500208463"/>
      <w:r>
        <w:rPr>
          <w:rFonts w:hint="eastAsia"/>
          <w:color w:val="auto"/>
          <w:highlight w:val="none"/>
        </w:rPr>
        <w:t xml:space="preserve">     第一章  投标须知</w:t>
      </w:r>
      <w:bookmarkEnd w:id="1"/>
      <w:bookmarkEnd w:id="2"/>
      <w:bookmarkEnd w:id="3"/>
    </w:p>
    <w:p w14:paraId="78C03E00">
      <w:pPr>
        <w:pStyle w:val="6"/>
        <w:spacing w:line="360" w:lineRule="exact"/>
        <w:rPr>
          <w:rFonts w:hint="eastAsia"/>
          <w:color w:val="auto"/>
          <w:highlight w:val="none"/>
        </w:rPr>
      </w:pPr>
      <w:bookmarkStart w:id="4" w:name="_Toc169487775"/>
      <w:bookmarkStart w:id="5" w:name="_Toc500209413"/>
      <w:bookmarkStart w:id="6" w:name="_Toc500208464"/>
      <w:r>
        <w:rPr>
          <w:rFonts w:hint="eastAsia"/>
          <w:color w:val="auto"/>
          <w:highlight w:val="none"/>
        </w:rPr>
        <w:t>总  则</w:t>
      </w:r>
      <w:bookmarkEnd w:id="4"/>
      <w:bookmarkEnd w:id="5"/>
      <w:bookmarkEnd w:id="6"/>
    </w:p>
    <w:p w14:paraId="2E0372C1">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7" w:name="_Toc169487776"/>
      <w:bookmarkStart w:id="8" w:name="_Toc155342528"/>
      <w:bookmarkStart w:id="9" w:name="_Toc500208465"/>
      <w:bookmarkStart w:id="10" w:name="_Toc500208499"/>
      <w:bookmarkStart w:id="11" w:name="_Toc500209421"/>
      <w:r>
        <w:rPr>
          <w:rFonts w:hint="eastAsia" w:ascii="黑体" w:hAnsi="宋体" w:eastAsia="黑体" w:cs="Times New Roman"/>
          <w:b/>
          <w:color w:val="auto"/>
          <w:kern w:val="2"/>
          <w:sz w:val="21"/>
          <w:lang w:val="en-US" w:eastAsia="zh-CN" w:bidi="ar-SA"/>
        </w:rPr>
        <w:t>1.工程说明</w:t>
      </w:r>
      <w:bookmarkEnd w:id="7"/>
      <w:bookmarkEnd w:id="8"/>
    </w:p>
    <w:p w14:paraId="1004781B">
      <w:pPr>
        <w:pStyle w:val="15"/>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olor w:val="auto"/>
          <w:sz w:val="21"/>
          <w:highlight w:val="none"/>
        </w:rPr>
        <w:t>1.1本招标工程项目说明详见本须知前附表第1项～第7项。</w:t>
      </w:r>
    </w:p>
    <w:p w14:paraId="20F7FE75">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2" w:name="_Toc155342529"/>
      <w:bookmarkStart w:id="13" w:name="_Toc169487777"/>
      <w:r>
        <w:rPr>
          <w:rFonts w:hint="eastAsia" w:ascii="黑体" w:hAnsi="宋体" w:eastAsia="黑体" w:cs="Times New Roman"/>
          <w:b/>
          <w:color w:val="auto"/>
          <w:kern w:val="2"/>
          <w:sz w:val="21"/>
          <w:lang w:val="en-US" w:eastAsia="zh-CN" w:bidi="ar-SA"/>
        </w:rPr>
        <w:t>2.招标范围</w:t>
      </w:r>
      <w:bookmarkEnd w:id="9"/>
      <w:bookmarkEnd w:id="12"/>
      <w:bookmarkEnd w:id="13"/>
    </w:p>
    <w:p w14:paraId="647F2441">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bookmarkStart w:id="14" w:name="_Toc500208466"/>
      <w:r>
        <w:rPr>
          <w:rFonts w:hint="eastAsia" w:ascii="宋体" w:hAnsi="宋体" w:eastAsia="宋体" w:cs="Times New Roman"/>
          <w:b w:val="0"/>
          <w:i w:val="0"/>
          <w:color w:val="auto"/>
          <w:kern w:val="2"/>
          <w:sz w:val="21"/>
          <w:lang w:val="en-US" w:eastAsia="zh-CN" w:bidi="ar-SA"/>
        </w:rPr>
        <w:t>2.1</w:t>
      </w:r>
      <w:r>
        <w:rPr>
          <w:rFonts w:hint="eastAsia"/>
          <w:color w:val="auto"/>
          <w:highlight w:val="none"/>
        </w:rPr>
        <w:t>本招标工程项目的招标方式详见本须知前附表第8项。</w:t>
      </w:r>
    </w:p>
    <w:p w14:paraId="31F839BC">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2.2</w:t>
      </w:r>
      <w:r>
        <w:rPr>
          <w:rFonts w:hint="eastAsia"/>
          <w:color w:val="auto"/>
          <w:highlight w:val="none"/>
        </w:rPr>
        <w:t>本招标工程项目的招标范围详见本须知前附表第9项。</w:t>
      </w:r>
    </w:p>
    <w:p w14:paraId="7040CFCC">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5" w:name="_Toc169487778"/>
      <w:bookmarkStart w:id="16" w:name="_Toc155342530"/>
      <w:r>
        <w:rPr>
          <w:rFonts w:hint="eastAsia" w:ascii="黑体" w:hAnsi="宋体" w:eastAsia="黑体" w:cs="Times New Roman"/>
          <w:b/>
          <w:color w:val="auto"/>
          <w:kern w:val="2"/>
          <w:sz w:val="21"/>
          <w:lang w:val="en-US" w:eastAsia="zh-CN" w:bidi="ar-SA"/>
        </w:rPr>
        <w:t>3.资金来源</w:t>
      </w:r>
      <w:bookmarkEnd w:id="14"/>
      <w:bookmarkEnd w:id="15"/>
      <w:bookmarkEnd w:id="16"/>
    </w:p>
    <w:p w14:paraId="1BCA991C">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3.1</w:t>
      </w:r>
      <w:r>
        <w:rPr>
          <w:rFonts w:hint="eastAsia"/>
          <w:color w:val="auto"/>
          <w:highlight w:val="none"/>
        </w:rPr>
        <w:t>本招标工程项目资金来源详见本须知前附表第10项，其中部分资金用于本工程项目合同项下的合格支付。</w:t>
      </w:r>
    </w:p>
    <w:p w14:paraId="7F65262F">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7" w:name="_Toc155342531"/>
      <w:bookmarkStart w:id="18" w:name="_Toc169487779"/>
      <w:r>
        <w:rPr>
          <w:rFonts w:hint="eastAsia" w:ascii="黑体" w:hAnsi="宋体" w:eastAsia="黑体" w:cs="Times New Roman"/>
          <w:b/>
          <w:color w:val="auto"/>
          <w:kern w:val="2"/>
          <w:sz w:val="21"/>
          <w:lang w:val="en-US" w:eastAsia="zh-CN" w:bidi="ar-SA"/>
        </w:rPr>
        <w:t>4.投标资格</w:t>
      </w:r>
      <w:bookmarkEnd w:id="17"/>
      <w:bookmarkEnd w:id="18"/>
    </w:p>
    <w:p w14:paraId="75248358">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4.1</w:t>
      </w:r>
      <w:r>
        <w:rPr>
          <w:rFonts w:hint="eastAsia"/>
          <w:color w:val="auto"/>
          <w:highlight w:val="none"/>
        </w:rPr>
        <w:t>投标人与项目负责人要求详见本须知前附表第11项和第12项。</w:t>
      </w:r>
    </w:p>
    <w:p w14:paraId="41399920">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default" w:eastAsia="宋体"/>
          <w:b/>
          <w:bCs/>
          <w:color w:val="auto"/>
          <w:highlight w:val="none"/>
          <w:lang w:val="en-US" w:eastAsia="zh-CN"/>
        </w:rPr>
      </w:pPr>
      <w:r>
        <w:rPr>
          <w:rFonts w:hint="eastAsia" w:ascii="宋体" w:hAnsi="宋体" w:eastAsia="宋体" w:cs="Times New Roman"/>
          <w:b w:val="0"/>
          <w:bCs/>
          <w:i w:val="0"/>
          <w:color w:val="auto"/>
          <w:kern w:val="2"/>
          <w:sz w:val="21"/>
          <w:lang w:val="en-US" w:eastAsia="zh-CN" w:bidi="ar-SA"/>
        </w:rPr>
        <w:t>4.2</w:t>
      </w:r>
      <w:r>
        <w:rPr>
          <w:rFonts w:hint="eastAsia"/>
          <w:b/>
          <w:bCs/>
          <w:color w:val="auto"/>
          <w:highlight w:val="none"/>
        </w:rPr>
        <w:t>项目负责人在建要求：</w:t>
      </w:r>
      <w:r>
        <w:rPr>
          <w:rFonts w:hint="eastAsia"/>
          <w:b/>
          <w:bCs/>
          <w:color w:val="auto"/>
          <w:highlight w:val="none"/>
          <w:lang w:val="en-US" w:eastAsia="zh-CN"/>
        </w:rPr>
        <w:t>不作要求。</w:t>
      </w:r>
    </w:p>
    <w:p w14:paraId="42C151B5">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4.3</w:t>
      </w:r>
      <w:r>
        <w:rPr>
          <w:rFonts w:hint="eastAsia"/>
          <w:color w:val="auto"/>
          <w:highlight w:val="none"/>
        </w:rPr>
        <w:t>项目负责人不得同时在两个或者两个以上单位受聘或者执业（仅指项目负责人不得同时是其他单位的公务员或者事业单位在编人员，涉及到其他情形的，投标资格不受影响）。</w:t>
      </w:r>
    </w:p>
    <w:p w14:paraId="387ADADD">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4.4</w:t>
      </w:r>
      <w:r>
        <w:rPr>
          <w:rFonts w:hint="eastAsia"/>
          <w:color w:val="auto"/>
          <w:highlight w:val="none"/>
        </w:rPr>
        <w:t>投标人有以下情形之一的，不得参加本项目投标：</w:t>
      </w:r>
    </w:p>
    <w:p w14:paraId="3A0F118B">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 xml:space="preserve">（1）为招标人不具有独立法人资格的附属机构（单位）； </w:t>
      </w:r>
    </w:p>
    <w:p w14:paraId="4124DC41">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 xml:space="preserve">（2）为本工程前期准备提供设计或咨询服务的，但设计施工总承包的除外； </w:t>
      </w:r>
    </w:p>
    <w:p w14:paraId="4B52CB04">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（3）为本工程的监理人；</w:t>
      </w:r>
    </w:p>
    <w:p w14:paraId="31F77796">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 xml:space="preserve">（4）为本工程的代建人； </w:t>
      </w:r>
    </w:p>
    <w:p w14:paraId="1DF8DE6D">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 xml:space="preserve">（5）为本工程提供招标代理服务的； </w:t>
      </w:r>
    </w:p>
    <w:p w14:paraId="66A10CE0">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（6）与本工程的监理人或代建人或招标代理机构同为一个法定代表人的；</w:t>
      </w:r>
    </w:p>
    <w:p w14:paraId="3F92C4EC">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（7）与本工程的监理人或代建人或招标代理机构相互控股或参股的；</w:t>
      </w:r>
    </w:p>
    <w:p w14:paraId="2641E76F">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（8）与本工程的监理人或代建人或招标代理机构相互任职或工作的；</w:t>
      </w:r>
    </w:p>
    <w:p w14:paraId="52713F4E">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 xml:space="preserve">（9）被责令停业的； </w:t>
      </w:r>
    </w:p>
    <w:p w14:paraId="3E901DBC">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 xml:space="preserve">（10）被暂停或取消投标资格的（包括项目负责人）； </w:t>
      </w:r>
    </w:p>
    <w:p w14:paraId="2ADD22CB">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（11）安全生产许可证超出有效期或处于暂扣时限内的；</w:t>
      </w:r>
    </w:p>
    <w:p w14:paraId="6FA9CF02">
      <w:pPr>
        <w:pStyle w:val="4"/>
        <w:pageBreakBefore w:val="0"/>
        <w:widowControl w:val="0"/>
        <w:tabs>
          <w:tab w:val="left" w:pos="0"/>
          <w:tab w:val="clear" w:pos="574"/>
        </w:tabs>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12）根据《关于在国有投资建设工程项目招投标活动中实行行贿犯罪档案查询制度的通知》（台建规[2010]219号）规定，投标人（包括法定代表人）和项目负责人其一有行贿犯罪记录的（由投标文件提交截止之日上溯3年，行贿犯罪记录日期以法院判决生效日期为准）；</w:t>
      </w:r>
    </w:p>
    <w:p w14:paraId="2BE05E32">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（13）投标人及相关管理人员（包括项目负责人）安全生产任职资格不符合相关规定；</w:t>
      </w:r>
    </w:p>
    <w:p w14:paraId="1CAB8C54">
      <w:pPr>
        <w:pStyle w:val="4"/>
        <w:pageBreakBefore w:val="0"/>
        <w:widowControl w:val="0"/>
        <w:kinsoku/>
        <w:wordWrap/>
        <w:overflowPunct/>
        <w:topLinePunct w:val="0"/>
        <w:autoSpaceDE/>
        <w:autoSpaceDN/>
        <w:bidi w:val="0"/>
        <w:adjustRightInd w:val="0"/>
        <w:snapToGrid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（14）浙江省外企业《省外企业进浙承接业务备案证明》超出有效期或未能在“浙江省建筑市场监管公共服务系统”对外发布形成的备案信息中显示的或已注销的。</w:t>
      </w:r>
    </w:p>
    <w:p w14:paraId="67D9A0C6">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color w:val="auto"/>
          <w:highlight w:val="none"/>
        </w:rPr>
      </w:pPr>
      <w:bookmarkStart w:id="19" w:name="_Toc155342532"/>
      <w:bookmarkStart w:id="20" w:name="_Toc169487780"/>
      <w:r>
        <w:rPr>
          <w:rFonts w:hint="eastAsia" w:ascii="黑体" w:hAnsi="宋体" w:eastAsia="黑体" w:cs="Times New Roman"/>
          <w:b/>
          <w:color w:val="auto"/>
          <w:kern w:val="2"/>
          <w:sz w:val="21"/>
          <w:lang w:val="en-US" w:eastAsia="zh-CN" w:bidi="ar-SA"/>
        </w:rPr>
        <w:t>5.</w:t>
      </w:r>
      <w:r>
        <w:rPr>
          <w:rFonts w:hint="eastAsia"/>
          <w:color w:val="auto"/>
          <w:highlight w:val="none"/>
        </w:rPr>
        <w:t>投标费用</w:t>
      </w:r>
      <w:bookmarkEnd w:id="19"/>
      <w:bookmarkEnd w:id="20"/>
    </w:p>
    <w:p w14:paraId="336F660F">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5.1</w:t>
      </w:r>
      <w:r>
        <w:rPr>
          <w:rFonts w:hint="eastAsia"/>
          <w:color w:val="auto"/>
          <w:highlight w:val="none"/>
        </w:rPr>
        <w:t>投标人应自行承担其参加投标活动自身发生的费用。</w:t>
      </w:r>
    </w:p>
    <w:p w14:paraId="7E729384">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5.2</w:t>
      </w:r>
      <w:r>
        <w:rPr>
          <w:rFonts w:hint="eastAsia"/>
          <w:color w:val="auto"/>
          <w:highlight w:val="none"/>
        </w:rPr>
        <w:t>招标文件工本费</w:t>
      </w:r>
      <w:r>
        <w:rPr>
          <w:rFonts w:hint="eastAsia"/>
          <w:color w:val="auto"/>
          <w:highlight w:val="none"/>
        </w:rPr>
        <w:t>为300元</w:t>
      </w:r>
      <w:r>
        <w:rPr>
          <w:rFonts w:hint="eastAsia"/>
          <w:color w:val="auto"/>
          <w:highlight w:val="none"/>
        </w:rPr>
        <w:t>，在递交投标文件时收取。</w:t>
      </w:r>
    </w:p>
    <w:p w14:paraId="05C8B925">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color w:val="auto"/>
          <w:highlight w:val="none"/>
        </w:rPr>
      </w:pPr>
      <w:bookmarkStart w:id="21" w:name="_Toc155342533"/>
      <w:bookmarkStart w:id="22" w:name="_Toc169487781"/>
      <w:r>
        <w:rPr>
          <w:rFonts w:hint="eastAsia" w:ascii="黑体" w:hAnsi="宋体" w:eastAsia="黑体" w:cs="Times New Roman"/>
          <w:b/>
          <w:color w:val="auto"/>
          <w:kern w:val="2"/>
          <w:sz w:val="21"/>
          <w:lang w:val="en-US" w:eastAsia="zh-CN" w:bidi="ar-SA"/>
        </w:rPr>
        <w:t>6.</w:t>
      </w:r>
      <w:r>
        <w:rPr>
          <w:rFonts w:hint="eastAsia"/>
          <w:color w:val="auto"/>
          <w:highlight w:val="none"/>
        </w:rPr>
        <w:t>现场条件</w:t>
      </w:r>
      <w:bookmarkEnd w:id="21"/>
      <w:bookmarkEnd w:id="22"/>
    </w:p>
    <w:p w14:paraId="073F0556">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6.1</w:t>
      </w:r>
      <w:r>
        <w:rPr>
          <w:rFonts w:hint="eastAsia"/>
          <w:color w:val="auto"/>
          <w:highlight w:val="none"/>
        </w:rPr>
        <w:t>施工现场“三通一平”已经完成。</w:t>
      </w:r>
    </w:p>
    <w:p w14:paraId="4D3DBC5D">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color w:val="auto"/>
          <w:highlight w:val="none"/>
        </w:rPr>
      </w:pPr>
      <w:bookmarkStart w:id="23" w:name="_Toc169487782"/>
      <w:bookmarkStart w:id="24" w:name="_Toc155342534"/>
      <w:r>
        <w:rPr>
          <w:rFonts w:hint="eastAsia" w:ascii="黑体" w:hAnsi="宋体" w:eastAsia="黑体" w:cs="Times New Roman"/>
          <w:b/>
          <w:color w:val="auto"/>
          <w:kern w:val="2"/>
          <w:sz w:val="21"/>
          <w:lang w:val="en-US" w:eastAsia="zh-CN" w:bidi="ar-SA"/>
        </w:rPr>
        <w:t>7.</w:t>
      </w:r>
      <w:r>
        <w:rPr>
          <w:rFonts w:hint="eastAsia"/>
          <w:color w:val="auto"/>
          <w:highlight w:val="none"/>
        </w:rPr>
        <w:t>踏勘现场</w:t>
      </w:r>
      <w:bookmarkEnd w:id="23"/>
      <w:bookmarkEnd w:id="24"/>
    </w:p>
    <w:p w14:paraId="0F0C688C">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7.1</w:t>
      </w:r>
      <w:r>
        <w:rPr>
          <w:rFonts w:hint="eastAsia"/>
          <w:color w:val="auto"/>
          <w:highlight w:val="none"/>
        </w:rPr>
        <w:t>投标人可对工程施工现场和周围环境进行踏勘，以获取编制投标文件和签署合同所需的资料。踏勘现场所发生的费用由投标人自己承担。</w:t>
      </w:r>
    </w:p>
    <w:p w14:paraId="0BDD08C8">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7.2</w:t>
      </w:r>
      <w:r>
        <w:rPr>
          <w:rFonts w:hint="eastAsia"/>
          <w:color w:val="auto"/>
          <w:highlight w:val="none"/>
        </w:rPr>
        <w:t>招标人向投标人提供的有关施工现场的资料和数据，是招标人现有的能使投标人利用的资料。招标人对投标人由此而作出的推论、理解、结论概不负责。</w:t>
      </w:r>
    </w:p>
    <w:p w14:paraId="22B43DDD">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7.3</w:t>
      </w:r>
      <w:r>
        <w:rPr>
          <w:rFonts w:hint="eastAsia"/>
          <w:color w:val="auto"/>
          <w:highlight w:val="none"/>
        </w:rPr>
        <w:t>除招标人向投标人提供本工程有关的情况外，投标人应通过自行调查取得与本工程施工承包可能发生的费用等有关的全部情况，包括交通、环保、治安等规定和要求。</w:t>
      </w:r>
    </w:p>
    <w:p w14:paraId="4F66974F">
      <w:pPr>
        <w:pStyle w:val="6"/>
        <w:spacing w:line="360" w:lineRule="exact"/>
        <w:rPr>
          <w:rFonts w:hint="eastAsia"/>
          <w:color w:val="auto"/>
          <w:highlight w:val="none"/>
        </w:rPr>
      </w:pPr>
      <w:bookmarkStart w:id="25" w:name="_Toc169487783"/>
      <w:bookmarkStart w:id="26" w:name="_Toc500209414"/>
      <w:bookmarkStart w:id="27" w:name="_Toc500208467"/>
      <w:r>
        <w:rPr>
          <w:rFonts w:hint="eastAsia"/>
          <w:color w:val="auto"/>
          <w:highlight w:val="none"/>
        </w:rPr>
        <w:t>招标文件</w:t>
      </w:r>
      <w:bookmarkEnd w:id="25"/>
      <w:bookmarkEnd w:id="26"/>
      <w:bookmarkEnd w:id="27"/>
    </w:p>
    <w:p w14:paraId="048B613E">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color w:val="auto"/>
          <w:highlight w:val="none"/>
        </w:rPr>
      </w:pPr>
      <w:bookmarkStart w:id="28" w:name="_Toc155342536"/>
      <w:bookmarkStart w:id="29" w:name="_Toc169487784"/>
      <w:bookmarkStart w:id="30" w:name="_Toc500208468"/>
      <w:r>
        <w:rPr>
          <w:rFonts w:hint="eastAsia" w:ascii="黑体" w:hAnsi="宋体" w:eastAsia="黑体" w:cs="Times New Roman"/>
          <w:b/>
          <w:color w:val="auto"/>
          <w:kern w:val="2"/>
          <w:sz w:val="21"/>
          <w:lang w:val="en-US" w:eastAsia="zh-CN" w:bidi="ar-SA"/>
        </w:rPr>
        <w:t>8.</w:t>
      </w:r>
      <w:r>
        <w:rPr>
          <w:rFonts w:hint="eastAsia"/>
          <w:color w:val="auto"/>
          <w:highlight w:val="none"/>
        </w:rPr>
        <w:t>招标文件的组成</w:t>
      </w:r>
      <w:bookmarkEnd w:id="28"/>
      <w:bookmarkEnd w:id="29"/>
      <w:bookmarkEnd w:id="30"/>
    </w:p>
    <w:p w14:paraId="55D9331A">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8.1</w:t>
      </w:r>
      <w:r>
        <w:rPr>
          <w:rFonts w:hint="eastAsia"/>
          <w:color w:val="auto"/>
          <w:highlight w:val="none"/>
        </w:rPr>
        <w:t>招标文件包括下列内容：</w:t>
      </w:r>
    </w:p>
    <w:p w14:paraId="325A5079">
      <w:pPr>
        <w:pStyle w:val="4"/>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color w:val="auto"/>
          <w:highlight w:val="none"/>
        </w:rPr>
      </w:pPr>
      <w:r>
        <w:rPr>
          <w:rFonts w:hint="eastAsia"/>
          <w:color w:val="auto"/>
          <w:highlight w:val="none"/>
        </w:rPr>
        <w:t>第一章投标须知及投标须知前附表；</w:t>
      </w:r>
    </w:p>
    <w:p w14:paraId="2CA8D93B">
      <w:pPr>
        <w:pStyle w:val="4"/>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color w:val="auto"/>
          <w:highlight w:val="none"/>
        </w:rPr>
      </w:pPr>
      <w:r>
        <w:rPr>
          <w:rFonts w:hint="eastAsia"/>
          <w:color w:val="auto"/>
          <w:highlight w:val="none"/>
        </w:rPr>
        <w:t>第二章合同条款；</w:t>
      </w:r>
    </w:p>
    <w:p w14:paraId="54D3A960">
      <w:pPr>
        <w:pStyle w:val="4"/>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color w:val="auto"/>
          <w:highlight w:val="none"/>
        </w:rPr>
      </w:pPr>
      <w:r>
        <w:rPr>
          <w:rFonts w:hint="eastAsia"/>
          <w:color w:val="auto"/>
          <w:highlight w:val="none"/>
        </w:rPr>
        <w:t>第三章评标办法；</w:t>
      </w:r>
    </w:p>
    <w:p w14:paraId="2282D8E7">
      <w:pPr>
        <w:pStyle w:val="4"/>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color w:val="auto"/>
          <w:highlight w:val="none"/>
        </w:rPr>
      </w:pPr>
      <w:r>
        <w:rPr>
          <w:rFonts w:hint="eastAsia"/>
          <w:color w:val="auto"/>
          <w:highlight w:val="none"/>
        </w:rPr>
        <w:t>第四章投标文件格式；</w:t>
      </w:r>
    </w:p>
    <w:p w14:paraId="32726391">
      <w:pPr>
        <w:pStyle w:val="4"/>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color w:val="auto"/>
          <w:highlight w:val="none"/>
        </w:rPr>
      </w:pPr>
      <w:r>
        <w:rPr>
          <w:rFonts w:hint="eastAsia"/>
          <w:color w:val="auto"/>
          <w:highlight w:val="none"/>
        </w:rPr>
        <w:t>其他附件材料：施工图预算书（以下简称招标人预算书，实物工程量清单已在内）；</w:t>
      </w:r>
    </w:p>
    <w:p w14:paraId="3E22B9AC">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8.2</w:t>
      </w:r>
      <w:r>
        <w:rPr>
          <w:color w:val="auto"/>
          <w:highlight w:val="none"/>
        </w:rPr>
        <w:t>除</w:t>
      </w:r>
      <w:r>
        <w:rPr>
          <w:rFonts w:hint="eastAsia"/>
          <w:color w:val="auto"/>
          <w:highlight w:val="none"/>
        </w:rPr>
        <w:t>上款</w:t>
      </w:r>
      <w:r>
        <w:rPr>
          <w:color w:val="auto"/>
          <w:highlight w:val="none"/>
        </w:rPr>
        <w:t>内容外，招标人在提交投标文件截止时间</w:t>
      </w:r>
      <w:r>
        <w:rPr>
          <w:rFonts w:hint="eastAsia"/>
          <w:color w:val="auto"/>
          <w:highlight w:val="none"/>
        </w:rPr>
        <w:t>前，以书面形式发出的对招标文件的澄清或修改内容，均为招标文件的组成部分，对招标人和投标人起约束作用。</w:t>
      </w:r>
    </w:p>
    <w:p w14:paraId="7EEFA535">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8.3</w:t>
      </w:r>
      <w:r>
        <w:rPr>
          <w:color w:val="auto"/>
          <w:highlight w:val="none"/>
        </w:rPr>
        <w:t>投标人获取招标文件后，应仔细检查招标文件的所有内容，如有残缺等问题应在获得招标文件</w:t>
      </w:r>
      <w:r>
        <w:rPr>
          <w:rFonts w:hint="eastAsia"/>
          <w:color w:val="auto"/>
          <w:highlight w:val="none"/>
        </w:rPr>
        <w:t>3</w:t>
      </w:r>
      <w:r>
        <w:rPr>
          <w:color w:val="auto"/>
          <w:highlight w:val="none"/>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1FB6E360">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31" w:name="_Toc500208469"/>
      <w:bookmarkStart w:id="32" w:name="_Toc169487785"/>
      <w:bookmarkStart w:id="33" w:name="_Toc155342537"/>
      <w:r>
        <w:rPr>
          <w:rFonts w:hint="eastAsia" w:ascii="黑体" w:hAnsi="宋体" w:eastAsia="黑体" w:cs="Times New Roman"/>
          <w:b/>
          <w:color w:val="auto"/>
          <w:kern w:val="2"/>
          <w:sz w:val="21"/>
          <w:lang w:val="en-US" w:eastAsia="zh-CN" w:bidi="ar-SA"/>
        </w:rPr>
        <w:t>9.招标文件的</w:t>
      </w:r>
      <w:bookmarkEnd w:id="31"/>
      <w:r>
        <w:rPr>
          <w:rFonts w:hint="eastAsia" w:ascii="黑体" w:hAnsi="宋体" w:eastAsia="黑体" w:cs="Times New Roman"/>
          <w:b/>
          <w:color w:val="auto"/>
          <w:kern w:val="2"/>
          <w:sz w:val="21"/>
          <w:lang w:val="en-US" w:eastAsia="zh-CN" w:bidi="ar-SA"/>
        </w:rPr>
        <w:t>澄清</w:t>
      </w:r>
      <w:bookmarkEnd w:id="32"/>
      <w:bookmarkEnd w:id="33"/>
    </w:p>
    <w:p w14:paraId="22854A4C">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9.1</w:t>
      </w:r>
      <w:r>
        <w:rPr>
          <w:rFonts w:hint="eastAsia"/>
          <w:color w:val="auto"/>
          <w:highlight w:val="none"/>
        </w:rPr>
        <w:t>投标人在收到招标文件后，若有问题需要澄清，应于收到招标文件后，开标前以书面形式向招标人提出，招标人的书面答复将送给所有获得招标文件的投标人。招标人及招标代理机构的任何工作人员对投标人所作的任何口头解释、介绍、答复，只能供投标人参考，对招标人无任何约束力。</w:t>
      </w:r>
    </w:p>
    <w:p w14:paraId="1A5574E0">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34" w:name="_Toc155342538"/>
      <w:bookmarkStart w:id="35" w:name="_Toc169487786"/>
      <w:bookmarkStart w:id="36" w:name="_Toc500208470"/>
      <w:r>
        <w:rPr>
          <w:rFonts w:hint="eastAsia" w:ascii="黑体" w:hAnsi="宋体" w:eastAsia="黑体" w:cs="Times New Roman"/>
          <w:b/>
          <w:color w:val="auto"/>
          <w:kern w:val="2"/>
          <w:sz w:val="21"/>
          <w:lang w:val="en-US" w:eastAsia="zh-CN" w:bidi="ar-SA"/>
        </w:rPr>
        <w:t>10.招标文件的修改</w:t>
      </w:r>
      <w:bookmarkEnd w:id="34"/>
      <w:bookmarkEnd w:id="35"/>
      <w:bookmarkEnd w:id="36"/>
    </w:p>
    <w:p w14:paraId="712F6579">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10.1</w:t>
      </w:r>
      <w:r>
        <w:rPr>
          <w:rFonts w:hint="eastAsia"/>
          <w:color w:val="auto"/>
          <w:highlight w:val="none"/>
        </w:rPr>
        <w:t>在投标截止日期前，招标人可能以补充通知的方式修改招标文件。</w:t>
      </w:r>
    </w:p>
    <w:p w14:paraId="3E40E2AF">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10.2</w:t>
      </w:r>
      <w:r>
        <w:rPr>
          <w:color w:val="auto"/>
          <w:highlight w:val="none"/>
        </w:rPr>
        <w:t>招标文件的澄清、修改、补充等内容均以书面形式明确的内容为准。当招标文件、招标文件的澄清、修改、补充等在同一内容的表述上不一致时，以最后发出的书面文件为准。</w:t>
      </w:r>
    </w:p>
    <w:p w14:paraId="0E4ABDBE">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10.3</w:t>
      </w:r>
      <w:r>
        <w:rPr>
          <w:rFonts w:hint="eastAsia"/>
          <w:color w:val="auto"/>
          <w:highlight w:val="none"/>
        </w:rPr>
        <w:t>招标文件的澄清、修改、补充等内容将以书面方式发给所有获得招标文件的投标人，这些内容作为招标文件的组成部分，对投标人起约束作用。投标人通过传真或电邮方式收到的，须当即给予回执。</w:t>
      </w:r>
    </w:p>
    <w:p w14:paraId="587A5C63">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37" w:name="_Toc169487787"/>
      <w:bookmarkStart w:id="38" w:name="_Toc155342539"/>
      <w:r>
        <w:rPr>
          <w:rFonts w:hint="eastAsia" w:ascii="黑体" w:hAnsi="宋体" w:eastAsia="黑体" w:cs="Times New Roman"/>
          <w:b/>
          <w:color w:val="auto"/>
          <w:kern w:val="2"/>
          <w:sz w:val="21"/>
          <w:lang w:val="en-US" w:eastAsia="zh-CN" w:bidi="ar-SA"/>
        </w:rPr>
        <w:t>11.招标文件的备案</w:t>
      </w:r>
      <w:bookmarkEnd w:id="37"/>
      <w:bookmarkEnd w:id="38"/>
    </w:p>
    <w:p w14:paraId="0605753E">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11.1</w:t>
      </w:r>
      <w:r>
        <w:rPr>
          <w:rFonts w:hint="eastAsia"/>
          <w:color w:val="auto"/>
          <w:highlight w:val="none"/>
        </w:rPr>
        <w:t>本招标文件（包括澄清、修改、补充文件、书面答复等）未经</w:t>
      </w:r>
      <w:r>
        <w:rPr>
          <w:rFonts w:hint="eastAsia" w:cs="宋体"/>
          <w:color w:val="auto"/>
          <w:highlight w:val="none"/>
        </w:rPr>
        <w:t>招标人</w:t>
      </w:r>
      <w:r>
        <w:rPr>
          <w:rFonts w:hint="eastAsia"/>
          <w:color w:val="auto"/>
          <w:highlight w:val="none"/>
        </w:rPr>
        <w:t>备案盖章的一律无效。</w:t>
      </w:r>
    </w:p>
    <w:p w14:paraId="0E31C07C">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39" w:name="_Toc155342540"/>
      <w:bookmarkStart w:id="40" w:name="_Toc169487788"/>
      <w:r>
        <w:rPr>
          <w:rFonts w:hint="eastAsia" w:ascii="黑体" w:hAnsi="宋体" w:eastAsia="黑体" w:cs="Times New Roman"/>
          <w:b/>
          <w:color w:val="auto"/>
          <w:kern w:val="2"/>
          <w:sz w:val="21"/>
          <w:lang w:val="en-US" w:eastAsia="zh-CN" w:bidi="ar-SA"/>
        </w:rPr>
        <w:t>12.招标文件的解释权</w:t>
      </w:r>
      <w:bookmarkEnd w:id="39"/>
      <w:bookmarkEnd w:id="40"/>
    </w:p>
    <w:p w14:paraId="54D26BA6">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12.1</w:t>
      </w:r>
      <w:r>
        <w:rPr>
          <w:rFonts w:hint="eastAsia"/>
          <w:color w:val="auto"/>
          <w:highlight w:val="none"/>
        </w:rPr>
        <w:t>本招标文件（包括澄清、修改、补充文件、书面答复等）的解释权属招标</w:t>
      </w:r>
      <w:r>
        <w:rPr>
          <w:rFonts w:hint="eastAsia" w:cs="宋体"/>
          <w:color w:val="auto"/>
          <w:highlight w:val="none"/>
        </w:rPr>
        <w:t>人</w:t>
      </w:r>
      <w:r>
        <w:rPr>
          <w:rFonts w:hint="eastAsia"/>
          <w:color w:val="auto"/>
          <w:highlight w:val="none"/>
        </w:rPr>
        <w:t>。</w:t>
      </w:r>
    </w:p>
    <w:p w14:paraId="5405C3AB">
      <w:pPr>
        <w:pStyle w:val="6"/>
        <w:spacing w:line="360" w:lineRule="exact"/>
        <w:rPr>
          <w:color w:val="auto"/>
          <w:highlight w:val="none"/>
        </w:rPr>
      </w:pPr>
      <w:bookmarkStart w:id="41" w:name="_Toc500208475"/>
      <w:bookmarkStart w:id="42" w:name="_Toc169487789"/>
      <w:bookmarkStart w:id="43" w:name="_Toc500209416"/>
      <w:r>
        <w:rPr>
          <w:rFonts w:hint="eastAsia"/>
          <w:color w:val="auto"/>
          <w:highlight w:val="none"/>
        </w:rPr>
        <w:t>投标文件的编制</w:t>
      </w:r>
      <w:bookmarkEnd w:id="41"/>
      <w:bookmarkEnd w:id="42"/>
      <w:bookmarkEnd w:id="43"/>
    </w:p>
    <w:p w14:paraId="44412F93">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44" w:name="_Toc500208476"/>
      <w:bookmarkStart w:id="45" w:name="_Toc155342542"/>
      <w:bookmarkStart w:id="46" w:name="_Toc169487790"/>
      <w:bookmarkStart w:id="47" w:name="_Toc69095786"/>
      <w:bookmarkStart w:id="48" w:name="_Toc500208477"/>
      <w:r>
        <w:rPr>
          <w:rFonts w:hint="eastAsia" w:ascii="黑体" w:hAnsi="宋体" w:eastAsia="黑体" w:cs="Times New Roman"/>
          <w:b/>
          <w:color w:val="auto"/>
          <w:kern w:val="2"/>
          <w:sz w:val="21"/>
          <w:lang w:val="en-US" w:eastAsia="zh-CN" w:bidi="ar-SA"/>
        </w:rPr>
        <w:t>13.投标文件的组成</w:t>
      </w:r>
      <w:bookmarkEnd w:id="44"/>
      <w:bookmarkEnd w:id="45"/>
      <w:bookmarkEnd w:id="46"/>
      <w:bookmarkEnd w:id="47"/>
    </w:p>
    <w:p w14:paraId="345AEF99">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13.1</w:t>
      </w:r>
      <w:r>
        <w:rPr>
          <w:rFonts w:hint="eastAsia"/>
          <w:color w:val="auto"/>
          <w:highlight w:val="none"/>
        </w:rPr>
        <w:t>本招标工程项目的投标文件组成详见本须知前附表第14项。</w:t>
      </w:r>
    </w:p>
    <w:p w14:paraId="27E44AAD">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49" w:name="_Toc155342544"/>
      <w:bookmarkStart w:id="50" w:name="_Toc169487791"/>
      <w:r>
        <w:rPr>
          <w:rFonts w:hint="eastAsia" w:ascii="黑体" w:hAnsi="宋体" w:eastAsia="黑体" w:cs="Times New Roman"/>
          <w:b/>
          <w:color w:val="auto"/>
          <w:kern w:val="2"/>
          <w:sz w:val="21"/>
          <w:lang w:val="en-US" w:eastAsia="zh-CN" w:bidi="ar-SA"/>
        </w:rPr>
        <w:t>14.投标文件的格式</w:t>
      </w:r>
      <w:bookmarkEnd w:id="49"/>
      <w:bookmarkEnd w:id="50"/>
    </w:p>
    <w:p w14:paraId="6EEBB207">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14.1</w:t>
      </w:r>
      <w:r>
        <w:rPr>
          <w:rFonts w:hint="eastAsia"/>
          <w:color w:val="auto"/>
          <w:highlight w:val="none"/>
        </w:rPr>
        <w:t>本招标工程项目的投标文件格式要求详见本须知前附表第15项。</w:t>
      </w:r>
    </w:p>
    <w:p w14:paraId="5917FD76">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51" w:name="_Toc169487792"/>
      <w:bookmarkStart w:id="52" w:name="_Toc155342545"/>
      <w:r>
        <w:rPr>
          <w:rFonts w:hint="eastAsia" w:ascii="黑体" w:hAnsi="宋体" w:eastAsia="黑体" w:cs="Times New Roman"/>
          <w:b/>
          <w:color w:val="auto"/>
          <w:kern w:val="2"/>
          <w:sz w:val="21"/>
          <w:lang w:val="en-US" w:eastAsia="zh-CN" w:bidi="ar-SA"/>
        </w:rPr>
        <w:t>15.投标报价组成</w:t>
      </w:r>
      <w:bookmarkEnd w:id="51"/>
      <w:bookmarkEnd w:id="52"/>
    </w:p>
    <w:p w14:paraId="76E87AD7">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15.1</w:t>
      </w:r>
      <w:r>
        <w:rPr>
          <w:rFonts w:hint="eastAsia"/>
          <w:color w:val="auto"/>
          <w:highlight w:val="none"/>
        </w:rPr>
        <w:t>报价方式：本工程项目报价方式详见本须知前附表第16项。</w:t>
      </w:r>
    </w:p>
    <w:p w14:paraId="34F6B71E">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15.2</w:t>
      </w:r>
      <w:r>
        <w:rPr>
          <w:rFonts w:hint="eastAsia"/>
          <w:color w:val="auto"/>
          <w:highlight w:val="none"/>
        </w:rPr>
        <w:t>投标总报价应是招标文件所确定的招标范围内全部工作内容的价格表现。其应包括施工设备、机械进退场费、劳务、管理、材料、安装、安全文明、维护、技术措施费、施工组织措施费、风险费、保险、利润、规费、税金、政策性文件规定及合同包含的所有风险、责任等所有费用。各投标人应根据本工程实际情况和自身的综合实力，竞报投标报价。</w:t>
      </w:r>
      <w:r>
        <w:rPr>
          <w:rFonts w:hint="eastAsia"/>
          <w:b/>
          <w:color w:val="auto"/>
          <w:highlight w:val="none"/>
        </w:rPr>
        <w:t>总报价以人民币元计。</w:t>
      </w:r>
    </w:p>
    <w:p w14:paraId="395F5F74">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53" w:name="_Toc155342546"/>
      <w:bookmarkStart w:id="54" w:name="_Toc169487793"/>
      <w:bookmarkStart w:id="55" w:name="_Toc500208474"/>
      <w:r>
        <w:rPr>
          <w:rFonts w:hint="eastAsia" w:ascii="黑体" w:hAnsi="宋体" w:eastAsia="黑体" w:cs="Times New Roman"/>
          <w:b/>
          <w:color w:val="auto"/>
          <w:kern w:val="2"/>
          <w:sz w:val="21"/>
          <w:lang w:val="en-US" w:eastAsia="zh-CN" w:bidi="ar-SA"/>
        </w:rPr>
        <w:t>16.投标报价要求</w:t>
      </w:r>
      <w:bookmarkEnd w:id="53"/>
      <w:bookmarkEnd w:id="54"/>
    </w:p>
    <w:p w14:paraId="023065BA">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16.1</w:t>
      </w:r>
      <w:r>
        <w:rPr>
          <w:rFonts w:hint="eastAsia"/>
          <w:color w:val="auto"/>
          <w:highlight w:val="none"/>
        </w:rPr>
        <w:t>投标人应根据报价要求，结合工程的实际情况、市场行情、技术方案和企业的管理水平，综合分析后自主确定报价。</w:t>
      </w:r>
    </w:p>
    <w:p w14:paraId="67176AD2">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黑体" w:eastAsia="黑体"/>
          <w:b/>
          <w:color w:val="auto"/>
          <w:highlight w:val="none"/>
        </w:rPr>
      </w:pPr>
      <w:r>
        <w:rPr>
          <w:rFonts w:hint="eastAsia" w:ascii="黑体" w:hAnsi="宋体" w:eastAsia="黑体" w:cs="Times New Roman"/>
          <w:b w:val="0"/>
          <w:i w:val="0"/>
          <w:color w:val="auto"/>
          <w:kern w:val="2"/>
          <w:sz w:val="21"/>
          <w:lang w:val="en-US" w:eastAsia="zh-CN" w:bidi="ar-SA"/>
        </w:rPr>
        <w:t>16.2</w:t>
      </w:r>
      <w:r>
        <w:rPr>
          <w:rFonts w:hint="eastAsia" w:ascii="黑体" w:eastAsia="黑体"/>
          <w:b/>
          <w:bCs/>
          <w:color w:val="auto"/>
          <w:highlight w:val="none"/>
        </w:rPr>
        <w:t>投标人的报价要求详见</w:t>
      </w:r>
      <w:r>
        <w:rPr>
          <w:rFonts w:hint="eastAsia" w:ascii="黑体" w:eastAsia="黑体"/>
          <w:b/>
          <w:color w:val="auto"/>
          <w:highlight w:val="none"/>
        </w:rPr>
        <w:t>本须知前附表第17项，未</w:t>
      </w:r>
      <w:r>
        <w:rPr>
          <w:rFonts w:hint="eastAsia" w:ascii="黑体" w:eastAsia="黑体"/>
          <w:b/>
          <w:bCs/>
          <w:color w:val="auto"/>
          <w:highlight w:val="none"/>
        </w:rPr>
        <w:t>按要求报价的，作无效标处理</w:t>
      </w:r>
      <w:r>
        <w:rPr>
          <w:rFonts w:hint="eastAsia" w:ascii="黑体" w:eastAsia="黑体"/>
          <w:b/>
          <w:color w:val="auto"/>
          <w:highlight w:val="none"/>
        </w:rPr>
        <w:t>。</w:t>
      </w:r>
    </w:p>
    <w:bookmarkEnd w:id="55"/>
    <w:p w14:paraId="1A51C352">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56" w:name="_Toc155342547"/>
      <w:bookmarkStart w:id="57" w:name="_Toc169487794"/>
      <w:r>
        <w:rPr>
          <w:rFonts w:hint="eastAsia" w:ascii="黑体" w:hAnsi="宋体" w:eastAsia="黑体" w:cs="Times New Roman"/>
          <w:b/>
          <w:color w:val="auto"/>
          <w:kern w:val="2"/>
          <w:sz w:val="21"/>
          <w:lang w:val="en-US" w:eastAsia="zh-CN" w:bidi="ar-SA"/>
        </w:rPr>
        <w:t>17.投标</w:t>
      </w:r>
      <w:bookmarkEnd w:id="48"/>
      <w:r>
        <w:rPr>
          <w:rFonts w:hint="eastAsia" w:ascii="黑体" w:hAnsi="宋体" w:eastAsia="黑体" w:cs="Times New Roman"/>
          <w:b/>
          <w:color w:val="auto"/>
          <w:kern w:val="2"/>
          <w:sz w:val="21"/>
          <w:lang w:val="en-US" w:eastAsia="zh-CN" w:bidi="ar-SA"/>
        </w:rPr>
        <w:t>担保</w:t>
      </w:r>
      <w:bookmarkEnd w:id="56"/>
      <w:bookmarkEnd w:id="57"/>
    </w:p>
    <w:p w14:paraId="34042B5A">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17.1</w:t>
      </w:r>
      <w:r>
        <w:rPr>
          <w:rFonts w:hint="eastAsia"/>
          <w:color w:val="auto"/>
          <w:highlight w:val="none"/>
        </w:rPr>
        <w:t>投标人按本须知前附表第18项规定提交投标担保。</w:t>
      </w:r>
    </w:p>
    <w:p w14:paraId="39C77603">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17.2</w:t>
      </w:r>
      <w:r>
        <w:rPr>
          <w:rFonts w:hint="eastAsia"/>
          <w:color w:val="auto"/>
          <w:highlight w:val="none"/>
        </w:rPr>
        <w:t>对于未能按要求提交投标担保的，招标人将视为不响应投标而予以拒绝。</w:t>
      </w:r>
    </w:p>
    <w:p w14:paraId="716F094E">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bookmarkStart w:id="58" w:name="_Toc169487795"/>
      <w:bookmarkStart w:id="59" w:name="_Toc155342548"/>
      <w:bookmarkStart w:id="60" w:name="_Toc500208478"/>
      <w:r>
        <w:rPr>
          <w:rFonts w:hint="eastAsia" w:ascii="宋体" w:hAnsi="宋体" w:eastAsia="宋体" w:cs="Times New Roman"/>
          <w:b w:val="0"/>
          <w:i w:val="0"/>
          <w:color w:val="auto"/>
          <w:kern w:val="2"/>
          <w:sz w:val="21"/>
          <w:lang w:val="en-US" w:eastAsia="zh-CN" w:bidi="ar-SA"/>
        </w:rPr>
        <w:t>17.3</w:t>
      </w:r>
      <w:r>
        <w:rPr>
          <w:rFonts w:hint="eastAsia"/>
          <w:color w:val="auto"/>
          <w:highlight w:val="none"/>
        </w:rPr>
        <w:t>投标担保按以下方式不计利息退还：投标人（含无效标的）在中标候选人公示结束后退还。如本工程发现其中一家投标人存在违规违法嫌疑时，则所有投标的保证金招标人有权暂不退还，待违规违法嫌疑查实后处理。</w:t>
      </w:r>
    </w:p>
    <w:p w14:paraId="677C3B4A">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17.4</w:t>
      </w:r>
      <w:r>
        <w:rPr>
          <w:rFonts w:hint="eastAsia"/>
          <w:color w:val="auto"/>
          <w:highlight w:val="none"/>
        </w:rPr>
        <w:t>投标人有下列情形的，投标担保将被</w:t>
      </w:r>
      <w:r>
        <w:rPr>
          <w:rFonts w:hint="eastAsia"/>
          <w:color w:val="auto"/>
          <w:highlight w:val="none"/>
          <w:lang w:val="en-US" w:eastAsia="zh-CN"/>
        </w:rPr>
        <w:t>全部</w:t>
      </w:r>
      <w:r>
        <w:rPr>
          <w:rFonts w:hint="eastAsia"/>
          <w:color w:val="auto"/>
          <w:highlight w:val="none"/>
        </w:rPr>
        <w:t>没收：</w:t>
      </w:r>
    </w:p>
    <w:p w14:paraId="70CC3BCD">
      <w:pPr>
        <w:pStyle w:val="15"/>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s="Times New Roman"/>
          <w:color w:val="auto"/>
          <w:kern w:val="2"/>
          <w:sz w:val="21"/>
          <w:lang w:val="en-US" w:eastAsia="zh-CN" w:bidi="ar-SA"/>
        </w:rPr>
        <w:t>（1）</w:t>
      </w:r>
      <w:r>
        <w:rPr>
          <w:rFonts w:hint="eastAsia" w:ascii="宋体" w:hAnsi="宋体" w:eastAsia="宋体"/>
          <w:color w:val="auto"/>
          <w:sz w:val="21"/>
          <w:highlight w:val="none"/>
        </w:rPr>
        <w:t>投标人在投标有效期内撤回其投标文件；</w:t>
      </w:r>
    </w:p>
    <w:p w14:paraId="42859E2D">
      <w:pPr>
        <w:pStyle w:val="15"/>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s="Times New Roman"/>
          <w:color w:val="auto"/>
          <w:kern w:val="2"/>
          <w:sz w:val="21"/>
          <w:lang w:val="en-US" w:eastAsia="zh-CN" w:bidi="ar-SA"/>
        </w:rPr>
        <w:t>（2）</w:t>
      </w:r>
      <w:r>
        <w:rPr>
          <w:rFonts w:hint="eastAsia" w:ascii="宋体" w:hAnsi="宋体" w:eastAsia="宋体"/>
          <w:color w:val="auto"/>
          <w:sz w:val="21"/>
          <w:highlight w:val="none"/>
        </w:rPr>
        <w:t>中标人未能在规定期限内提交履约担保或签署合同协议；</w:t>
      </w:r>
    </w:p>
    <w:p w14:paraId="252A3366">
      <w:pPr>
        <w:pStyle w:val="15"/>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s="Times New Roman"/>
          <w:color w:val="auto"/>
          <w:kern w:val="2"/>
          <w:sz w:val="21"/>
          <w:lang w:val="en-US" w:eastAsia="zh-CN" w:bidi="ar-SA"/>
        </w:rPr>
        <w:t>（3）</w:t>
      </w:r>
      <w:r>
        <w:rPr>
          <w:rFonts w:hint="eastAsia" w:ascii="宋体" w:hAnsi="宋体" w:eastAsia="宋体"/>
          <w:color w:val="auto"/>
          <w:sz w:val="21"/>
          <w:highlight w:val="none"/>
        </w:rPr>
        <w:t>投标人在投标期间内有串标、哄抬标价等违规违法行为；</w:t>
      </w:r>
    </w:p>
    <w:p w14:paraId="5E273A4D">
      <w:pPr>
        <w:pStyle w:val="15"/>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s="Times New Roman"/>
          <w:color w:val="auto"/>
          <w:kern w:val="2"/>
          <w:sz w:val="21"/>
          <w:lang w:val="en-US" w:eastAsia="zh-CN" w:bidi="ar-SA"/>
        </w:rPr>
        <w:t>（4）</w:t>
      </w:r>
      <w:r>
        <w:rPr>
          <w:rFonts w:hint="eastAsia" w:ascii="宋体" w:hAnsi="宋体" w:eastAsia="宋体"/>
          <w:color w:val="auto"/>
          <w:sz w:val="21"/>
          <w:highlight w:val="none"/>
        </w:rPr>
        <w:t>投标人违反《台州市建设工程诚信投标承诺书》承诺内容的；</w:t>
      </w:r>
    </w:p>
    <w:p w14:paraId="5B6447B7">
      <w:pPr>
        <w:pStyle w:val="15"/>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olor w:val="auto"/>
          <w:sz w:val="21"/>
          <w:highlight w:val="none"/>
          <w:lang w:eastAsia="zh-CN"/>
        </w:rPr>
      </w:pPr>
      <w:r>
        <w:rPr>
          <w:rFonts w:hint="eastAsia" w:ascii="宋体" w:hAnsi="宋体" w:eastAsia="宋体" w:cs="Times New Roman"/>
          <w:color w:val="auto"/>
          <w:kern w:val="2"/>
          <w:sz w:val="21"/>
          <w:lang w:val="en-US" w:eastAsia="zh-CN" w:bidi="ar-SA"/>
        </w:rPr>
        <w:t>（5）</w:t>
      </w:r>
      <w:r>
        <w:rPr>
          <w:rFonts w:hint="eastAsia" w:ascii="宋体" w:hAnsi="宋体" w:eastAsia="宋体"/>
          <w:color w:val="auto"/>
          <w:sz w:val="21"/>
          <w:highlight w:val="none"/>
          <w:lang w:val="en-US" w:eastAsia="zh-CN"/>
        </w:rPr>
        <w:t>法律法规规定的其他情形。</w:t>
      </w:r>
    </w:p>
    <w:p w14:paraId="1936CE85">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仿宋_GB2312"/>
          <w:b/>
          <w:color w:val="auto"/>
          <w:kern w:val="0"/>
          <w:szCs w:val="32"/>
          <w:highlight w:val="none"/>
          <w:lang w:val="en-GB"/>
        </w:rPr>
      </w:pPr>
      <w:r>
        <w:rPr>
          <w:rFonts w:hint="eastAsia" w:ascii="宋体" w:hAnsi="宋体" w:eastAsia="宋体"/>
          <w:color w:val="auto"/>
          <w:sz w:val="21"/>
          <w:highlight w:val="none"/>
        </w:rPr>
        <w:t>投标人自动放弃中标候选人或中标资格的（没收的投标担保不能弥补由于其放弃中标权而给招标人造成报价的差额损失的，由放弃中标权的中标候选人承担）。</w:t>
      </w:r>
    </w:p>
    <w:p w14:paraId="4777ACA8">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r>
        <w:rPr>
          <w:rFonts w:hint="eastAsia" w:ascii="黑体" w:hAnsi="宋体" w:eastAsia="黑体" w:cs="Times New Roman"/>
          <w:b/>
          <w:color w:val="auto"/>
          <w:kern w:val="2"/>
          <w:sz w:val="21"/>
          <w:lang w:val="en-US" w:eastAsia="zh-CN" w:bidi="ar-SA"/>
        </w:rPr>
        <w:t>18.投标有效期</w:t>
      </w:r>
      <w:bookmarkEnd w:id="58"/>
      <w:bookmarkEnd w:id="59"/>
    </w:p>
    <w:p w14:paraId="6C88BBC0">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18.1</w:t>
      </w:r>
      <w:r>
        <w:rPr>
          <w:color w:val="auto"/>
          <w:highlight w:val="none"/>
        </w:rPr>
        <w:t>投标有效期</w:t>
      </w:r>
      <w:r>
        <w:rPr>
          <w:rFonts w:hint="eastAsia"/>
          <w:color w:val="auto"/>
          <w:highlight w:val="none"/>
        </w:rPr>
        <w:t>详</w:t>
      </w:r>
      <w:r>
        <w:rPr>
          <w:color w:val="auto"/>
          <w:highlight w:val="none"/>
        </w:rPr>
        <w:t>见本须知前附表</w:t>
      </w:r>
      <w:r>
        <w:rPr>
          <w:rFonts w:hint="eastAsia"/>
          <w:color w:val="auto"/>
          <w:highlight w:val="none"/>
        </w:rPr>
        <w:t>第19项</w:t>
      </w:r>
      <w:r>
        <w:rPr>
          <w:color w:val="auto"/>
          <w:highlight w:val="none"/>
        </w:rPr>
        <w:t>，在此期限内，凡符合本招标文件要求的投标文件均保持有效。</w:t>
      </w:r>
    </w:p>
    <w:p w14:paraId="05A75446">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18.2</w:t>
      </w:r>
      <w:r>
        <w:rPr>
          <w:rFonts w:hint="eastAsia"/>
          <w:color w:val="auto"/>
          <w:highlight w:val="none"/>
        </w:rPr>
        <w:t>出现特殊情况需要延长投标有效期的，招标人以书面形式通知所有投标人延长投标有效期。投标人拒绝延长的，其投标失效。投标人同意延长的，不得要求或被允许修改或撤销其投标文件。在延长的投标有效期内，本须知17.2款仍然适用。</w:t>
      </w:r>
    </w:p>
    <w:bookmarkEnd w:id="60"/>
    <w:p w14:paraId="5FB52455">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61" w:name="_Toc155342549"/>
      <w:bookmarkStart w:id="62" w:name="_Toc169487796"/>
      <w:bookmarkStart w:id="63" w:name="_Toc500208479"/>
      <w:r>
        <w:rPr>
          <w:rFonts w:hint="eastAsia" w:ascii="黑体" w:hAnsi="宋体" w:eastAsia="黑体" w:cs="Times New Roman"/>
          <w:b/>
          <w:color w:val="auto"/>
          <w:kern w:val="2"/>
          <w:sz w:val="21"/>
          <w:lang w:val="en-US" w:eastAsia="zh-CN" w:bidi="ar-SA"/>
        </w:rPr>
        <w:t>19.投标文件的份数和签署</w:t>
      </w:r>
      <w:bookmarkEnd w:id="61"/>
      <w:bookmarkEnd w:id="62"/>
      <w:bookmarkEnd w:id="63"/>
    </w:p>
    <w:p w14:paraId="1BE100A1">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19.1</w:t>
      </w:r>
      <w:r>
        <w:rPr>
          <w:rFonts w:hint="eastAsia"/>
          <w:color w:val="auto"/>
          <w:highlight w:val="none"/>
        </w:rPr>
        <w:t>投标人按本须知前附表第20项规定的份数递交投标文件。</w:t>
      </w:r>
    </w:p>
    <w:p w14:paraId="0D40D4DB">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bCs/>
          <w:color w:val="auto"/>
          <w:highlight w:val="none"/>
        </w:rPr>
      </w:pPr>
      <w:r>
        <w:rPr>
          <w:rFonts w:hint="eastAsia" w:ascii="宋体" w:hAnsi="宋体" w:eastAsia="宋体" w:cs="Times New Roman"/>
          <w:b w:val="0"/>
          <w:bCs/>
          <w:i w:val="0"/>
          <w:color w:val="auto"/>
          <w:kern w:val="2"/>
          <w:sz w:val="21"/>
          <w:lang w:val="en-US" w:eastAsia="zh-CN" w:bidi="ar-SA"/>
        </w:rPr>
        <w:t>19.2</w:t>
      </w:r>
      <w:r>
        <w:rPr>
          <w:rFonts w:hint="eastAsia"/>
          <w:bCs/>
          <w:color w:val="auto"/>
          <w:highlight w:val="none"/>
        </w:rPr>
        <w:t>招标文件附件中注明由投标人法定代表人亲自签署或印鉴、并加盖法人单位公章的，投标人均应按要求签章。</w:t>
      </w:r>
    </w:p>
    <w:p w14:paraId="29325028">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19.3</w:t>
      </w:r>
      <w:r>
        <w:rPr>
          <w:rFonts w:hint="eastAsia"/>
          <w:color w:val="auto"/>
          <w:highlight w:val="none"/>
        </w:rPr>
        <w:t>当正本与副本不一致时，以正本为准。如未注明正副本的，由招标人或工作人员随机抽签确定一本作为正本。</w:t>
      </w:r>
    </w:p>
    <w:p w14:paraId="4515168A">
      <w:pPr>
        <w:pStyle w:val="6"/>
        <w:spacing w:line="360" w:lineRule="exact"/>
        <w:rPr>
          <w:rFonts w:hint="eastAsia"/>
          <w:color w:val="auto"/>
          <w:highlight w:val="none"/>
        </w:rPr>
      </w:pPr>
      <w:bookmarkStart w:id="64" w:name="_Toc169487797"/>
      <w:bookmarkStart w:id="65" w:name="_Toc500209417"/>
      <w:bookmarkStart w:id="66" w:name="_Toc500208480"/>
      <w:r>
        <w:rPr>
          <w:rFonts w:hint="eastAsia"/>
          <w:color w:val="auto"/>
          <w:highlight w:val="none"/>
        </w:rPr>
        <w:t>投标文件的递交</w:t>
      </w:r>
      <w:bookmarkEnd w:id="64"/>
      <w:bookmarkEnd w:id="65"/>
      <w:bookmarkEnd w:id="66"/>
    </w:p>
    <w:p w14:paraId="44741DAE">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67" w:name="_Toc500208481"/>
      <w:bookmarkStart w:id="68" w:name="_Toc169487798"/>
      <w:bookmarkStart w:id="69" w:name="_Toc155342551"/>
      <w:r>
        <w:rPr>
          <w:rFonts w:hint="eastAsia" w:ascii="黑体" w:hAnsi="宋体" w:eastAsia="黑体" w:cs="Times New Roman"/>
          <w:b/>
          <w:color w:val="auto"/>
          <w:kern w:val="2"/>
          <w:sz w:val="21"/>
          <w:lang w:val="en-US" w:eastAsia="zh-CN" w:bidi="ar-SA"/>
        </w:rPr>
        <w:t>20.投标文件的装订、密封与标志</w:t>
      </w:r>
      <w:bookmarkEnd w:id="67"/>
      <w:bookmarkEnd w:id="68"/>
      <w:bookmarkEnd w:id="69"/>
    </w:p>
    <w:p w14:paraId="71677D11">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20.1</w:t>
      </w:r>
      <w:r>
        <w:rPr>
          <w:rFonts w:hint="eastAsia"/>
          <w:color w:val="auto"/>
          <w:highlight w:val="none"/>
        </w:rPr>
        <w:t>投标人应将投标文件按规定密封，并注明项目（标段）名称、投标人名称及标函名称。</w:t>
      </w:r>
    </w:p>
    <w:p w14:paraId="0E9812FE">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20.2</w:t>
      </w:r>
      <w:r>
        <w:rPr>
          <w:rFonts w:hint="eastAsia" w:ascii="Times New Roman" w:hAnsi="Times New Roman"/>
          <w:color w:val="auto"/>
          <w:highlight w:val="none"/>
        </w:rPr>
        <w:t>密封要求：投标文件外包封每条接缝处必须加盖单位公章或法</w:t>
      </w:r>
      <w:r>
        <w:rPr>
          <w:rFonts w:hint="eastAsia" w:ascii="Times New Roman" w:hAnsi="Times New Roman"/>
          <w:color w:val="auto"/>
          <w:highlight w:val="none"/>
          <w:lang w:val="en-US" w:eastAsia="zh-CN"/>
        </w:rPr>
        <w:t>定</w:t>
      </w:r>
      <w:r>
        <w:rPr>
          <w:rFonts w:hint="eastAsia" w:ascii="Times New Roman" w:hAnsi="Times New Roman"/>
          <w:color w:val="auto"/>
          <w:highlight w:val="none"/>
        </w:rPr>
        <w:t>代表人（或委托代理人）印章（或签字）。</w:t>
      </w:r>
    </w:p>
    <w:p w14:paraId="4196E423">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bCs/>
          <w:color w:val="auto"/>
          <w:highlight w:val="none"/>
        </w:rPr>
      </w:pPr>
      <w:r>
        <w:rPr>
          <w:rFonts w:hint="eastAsia" w:ascii="宋体" w:hAnsi="宋体" w:eastAsia="宋体" w:cs="Times New Roman"/>
          <w:b w:val="0"/>
          <w:bCs/>
          <w:i w:val="0"/>
          <w:color w:val="auto"/>
          <w:kern w:val="2"/>
          <w:sz w:val="21"/>
          <w:lang w:val="en-US" w:eastAsia="zh-CN" w:bidi="ar-SA"/>
        </w:rPr>
        <w:t>20.3</w:t>
      </w:r>
      <w:r>
        <w:rPr>
          <w:rFonts w:hint="eastAsia"/>
          <w:bCs/>
          <w:color w:val="auto"/>
          <w:highlight w:val="none"/>
        </w:rPr>
        <w:t>投标文件的密封及装订要求详见本须知前附表第21项。</w:t>
      </w:r>
    </w:p>
    <w:p w14:paraId="56018E47">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70" w:name="_Toc155342552"/>
      <w:bookmarkStart w:id="71" w:name="_Toc169487799"/>
      <w:bookmarkStart w:id="72" w:name="_Toc500208482"/>
      <w:r>
        <w:rPr>
          <w:rFonts w:hint="eastAsia" w:ascii="黑体" w:hAnsi="宋体" w:eastAsia="黑体" w:cs="Times New Roman"/>
          <w:b/>
          <w:color w:val="auto"/>
          <w:kern w:val="2"/>
          <w:sz w:val="21"/>
          <w:lang w:val="en-US" w:eastAsia="zh-CN" w:bidi="ar-SA"/>
        </w:rPr>
        <w:t>21.投标文件的递交</w:t>
      </w:r>
      <w:bookmarkEnd w:id="70"/>
      <w:bookmarkEnd w:id="71"/>
    </w:p>
    <w:p w14:paraId="74938F41">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黑体" w:eastAsia="黑体"/>
          <w:b/>
          <w:color w:val="auto"/>
          <w:highlight w:val="none"/>
        </w:rPr>
      </w:pPr>
      <w:r>
        <w:rPr>
          <w:rFonts w:hint="eastAsia" w:ascii="黑体" w:hAnsi="宋体" w:eastAsia="黑体" w:cs="Times New Roman"/>
          <w:b w:val="0"/>
          <w:i w:val="0"/>
          <w:color w:val="auto"/>
          <w:kern w:val="2"/>
          <w:sz w:val="21"/>
          <w:lang w:val="en-US" w:eastAsia="zh-CN" w:bidi="ar-SA"/>
        </w:rPr>
        <w:t>21.1</w:t>
      </w:r>
      <w:r>
        <w:rPr>
          <w:rFonts w:hint="eastAsia" w:ascii="黑体" w:eastAsia="黑体"/>
          <w:b/>
          <w:color w:val="auto"/>
          <w:highlight w:val="none"/>
        </w:rPr>
        <w:t>投标人应按本须知前附表第22项规定的地点，在本须知前附表第23项规定的截止时间前提交投标文件，</w:t>
      </w:r>
    </w:p>
    <w:p w14:paraId="44BA1619">
      <w:pPr>
        <w:pStyle w:val="15"/>
        <w:pageBreakBefore w:val="0"/>
        <w:widowControl w:val="0"/>
        <w:kinsoku/>
        <w:wordWrap/>
        <w:overflowPunct/>
        <w:topLinePunct w:val="0"/>
        <w:autoSpaceDE/>
        <w:autoSpaceDN/>
        <w:bidi w:val="0"/>
        <w:adjustRightInd/>
        <w:snapToGrid/>
        <w:spacing w:line="360" w:lineRule="exact"/>
        <w:ind w:left="0" w:leftChars="0" w:firstLine="422" w:firstLineChars="200"/>
        <w:jc w:val="both"/>
        <w:textAlignment w:val="auto"/>
        <w:rPr>
          <w:rFonts w:hint="eastAsia" w:ascii="宋体" w:hAnsi="宋体" w:eastAsia="宋体"/>
          <w:bCs/>
          <w:color w:val="auto"/>
          <w:sz w:val="21"/>
          <w:highlight w:val="none"/>
        </w:rPr>
      </w:pPr>
      <w:r>
        <w:rPr>
          <w:rFonts w:hint="eastAsia" w:ascii="黑体" w:hAnsi="宋体" w:eastAsia="黑体"/>
          <w:b/>
          <w:color w:val="auto"/>
          <w:sz w:val="21"/>
          <w:highlight w:val="none"/>
        </w:rPr>
        <w:t>21.2投标人提交投标文件时需同时满足本须知前附表第24项要求，否则该投标文件予以拒收。</w:t>
      </w:r>
    </w:p>
    <w:p w14:paraId="012FCF0A">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73" w:name="_Toc169487800"/>
      <w:bookmarkStart w:id="74" w:name="_Toc155342553"/>
      <w:r>
        <w:rPr>
          <w:rFonts w:hint="eastAsia" w:ascii="黑体" w:hAnsi="宋体" w:eastAsia="黑体" w:cs="Times New Roman"/>
          <w:b/>
          <w:color w:val="auto"/>
          <w:kern w:val="2"/>
          <w:sz w:val="21"/>
          <w:lang w:val="en-US" w:eastAsia="zh-CN" w:bidi="ar-SA"/>
        </w:rPr>
        <w:t>22.投标截止期</w:t>
      </w:r>
      <w:bookmarkEnd w:id="72"/>
      <w:bookmarkEnd w:id="73"/>
      <w:bookmarkEnd w:id="74"/>
    </w:p>
    <w:p w14:paraId="6430BB65">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22.1</w:t>
      </w:r>
      <w:r>
        <w:rPr>
          <w:color w:val="auto"/>
          <w:highlight w:val="none"/>
        </w:rPr>
        <w:t>投标文件的截止时间</w:t>
      </w:r>
      <w:r>
        <w:rPr>
          <w:rFonts w:hint="eastAsia"/>
          <w:color w:val="auto"/>
          <w:highlight w:val="none"/>
        </w:rPr>
        <w:t>详见</w:t>
      </w:r>
      <w:r>
        <w:rPr>
          <w:color w:val="auto"/>
          <w:highlight w:val="none"/>
        </w:rPr>
        <w:t>本须知前附表</w:t>
      </w:r>
      <w:r>
        <w:rPr>
          <w:rFonts w:hint="eastAsia"/>
          <w:color w:val="auto"/>
          <w:highlight w:val="none"/>
        </w:rPr>
        <w:t>第23项</w:t>
      </w:r>
      <w:r>
        <w:rPr>
          <w:color w:val="auto"/>
          <w:highlight w:val="none"/>
        </w:rPr>
        <w:t>。</w:t>
      </w:r>
    </w:p>
    <w:p w14:paraId="4F896F73">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22.2</w:t>
      </w:r>
      <w:r>
        <w:rPr>
          <w:color w:val="auto"/>
          <w:highlight w:val="none"/>
        </w:rPr>
        <w:t>招标人可以补充通知的方式，酌情延长提交投标文件的截止时间。在此情况下，投标人的所有权利和义务以及投标人受制约的截止时间，均以延长后新的投标截止时间为准。</w:t>
      </w:r>
    </w:p>
    <w:p w14:paraId="2F06C35E">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22.3</w:t>
      </w:r>
      <w:r>
        <w:rPr>
          <w:rFonts w:hint="eastAsia"/>
          <w:color w:val="auto"/>
          <w:highlight w:val="none"/>
        </w:rPr>
        <w:t>到投标截止时间止，招标人收到的投标文件少于3个的，投标人将依法重新组织招标。</w:t>
      </w:r>
    </w:p>
    <w:p w14:paraId="2ADE287F">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75" w:name="_Toc169487801"/>
      <w:bookmarkStart w:id="76" w:name="_Toc155342554"/>
      <w:bookmarkStart w:id="77" w:name="_Toc500208483"/>
      <w:r>
        <w:rPr>
          <w:rFonts w:hint="eastAsia" w:ascii="黑体" w:hAnsi="宋体" w:eastAsia="黑体" w:cs="Times New Roman"/>
          <w:b/>
          <w:color w:val="auto"/>
          <w:kern w:val="2"/>
          <w:sz w:val="21"/>
          <w:lang w:val="en-US" w:eastAsia="zh-CN" w:bidi="ar-SA"/>
        </w:rPr>
        <w:t>23.投标文件的补充、修改与撤回</w:t>
      </w:r>
      <w:bookmarkEnd w:id="75"/>
      <w:bookmarkEnd w:id="76"/>
      <w:bookmarkEnd w:id="77"/>
    </w:p>
    <w:p w14:paraId="0B42526C">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23.1</w:t>
      </w:r>
      <w:r>
        <w:rPr>
          <w:color w:val="auto"/>
          <w:highlight w:val="none"/>
        </w:rPr>
        <w:t>投标人在提交投标文件以后，在规定的投标截止时间之前，可以书面形式补充修改或撤回已提交的投标文件，并以书面形式通知招标人。补充、修改的内容为投标文件的组成部分。</w:t>
      </w:r>
    </w:p>
    <w:p w14:paraId="615F3BE7">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23.2</w:t>
      </w:r>
      <w:r>
        <w:rPr>
          <w:color w:val="auto"/>
          <w:highlight w:val="none"/>
        </w:rPr>
        <w:t>投标人对投标文件的补充、修改，应按本</w:t>
      </w:r>
      <w:r>
        <w:rPr>
          <w:rFonts w:hint="eastAsia"/>
          <w:color w:val="auto"/>
          <w:highlight w:val="none"/>
        </w:rPr>
        <w:t>节</w:t>
      </w:r>
      <w:r>
        <w:rPr>
          <w:color w:val="auto"/>
          <w:highlight w:val="none"/>
        </w:rPr>
        <w:t>有关</w:t>
      </w:r>
      <w:r>
        <w:rPr>
          <w:rFonts w:hint="eastAsia"/>
          <w:color w:val="auto"/>
          <w:highlight w:val="none"/>
        </w:rPr>
        <w:t>投标文件</w:t>
      </w:r>
      <w:r>
        <w:rPr>
          <w:color w:val="auto"/>
          <w:highlight w:val="none"/>
        </w:rPr>
        <w:t>规定密封、标记和提交，并在投标文件密封袋上清楚标明“补充、修改”或“撤回”字样。</w:t>
      </w:r>
    </w:p>
    <w:p w14:paraId="3F11BA55">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color w:val="auto"/>
          <w:highlight w:val="none"/>
        </w:rPr>
      </w:pPr>
      <w:r>
        <w:rPr>
          <w:rFonts w:hint="eastAsia" w:ascii="宋体" w:hAnsi="宋体" w:eastAsia="宋体" w:cs="Times New Roman"/>
          <w:b w:val="0"/>
          <w:i w:val="0"/>
          <w:color w:val="auto"/>
          <w:kern w:val="2"/>
          <w:sz w:val="21"/>
          <w:lang w:val="en-US" w:eastAsia="zh-CN" w:bidi="ar-SA"/>
        </w:rPr>
        <w:t>23.3</w:t>
      </w:r>
      <w:r>
        <w:rPr>
          <w:color w:val="auto"/>
          <w:highlight w:val="none"/>
        </w:rPr>
        <w:t>在投标截止时间之后，投标人不得补充、修改投标文件。</w:t>
      </w:r>
    </w:p>
    <w:p w14:paraId="1B3FA56A">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23.4</w:t>
      </w:r>
      <w:r>
        <w:rPr>
          <w:color w:val="auto"/>
          <w:highlight w:val="none"/>
        </w:rPr>
        <w:t>在投标截止时间至投标有效期满之前，投标人不得撤回其投标文件，</w:t>
      </w:r>
      <w:r>
        <w:rPr>
          <w:rFonts w:hint="eastAsia"/>
          <w:color w:val="auto"/>
          <w:highlight w:val="none"/>
        </w:rPr>
        <w:t>否则将按照记不良行为一次处理</w:t>
      </w:r>
      <w:r>
        <w:rPr>
          <w:color w:val="auto"/>
          <w:highlight w:val="none"/>
        </w:rPr>
        <w:t>。</w:t>
      </w:r>
    </w:p>
    <w:p w14:paraId="450B6AC9">
      <w:pPr>
        <w:pStyle w:val="6"/>
        <w:spacing w:line="360" w:lineRule="exact"/>
        <w:rPr>
          <w:rFonts w:hint="eastAsia"/>
          <w:color w:val="auto"/>
          <w:highlight w:val="none"/>
        </w:rPr>
      </w:pPr>
      <w:bookmarkStart w:id="78" w:name="_Toc500208484"/>
      <w:bookmarkStart w:id="79" w:name="_Toc169487802"/>
      <w:bookmarkStart w:id="80" w:name="_Toc500209418"/>
      <w:r>
        <w:rPr>
          <w:rFonts w:hint="eastAsia"/>
          <w:color w:val="auto"/>
          <w:highlight w:val="none"/>
        </w:rPr>
        <w:t>开   标</w:t>
      </w:r>
      <w:bookmarkEnd w:id="78"/>
      <w:bookmarkEnd w:id="79"/>
      <w:bookmarkEnd w:id="80"/>
    </w:p>
    <w:p w14:paraId="2D8641F3">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81" w:name="_Toc155342556"/>
      <w:bookmarkStart w:id="82" w:name="_Toc500208485"/>
      <w:bookmarkStart w:id="83" w:name="_Toc169487803"/>
      <w:r>
        <w:rPr>
          <w:rFonts w:hint="eastAsia" w:ascii="黑体" w:hAnsi="宋体" w:eastAsia="黑体" w:cs="Times New Roman"/>
          <w:b/>
          <w:color w:val="auto"/>
          <w:kern w:val="2"/>
          <w:sz w:val="21"/>
          <w:lang w:val="en-US" w:eastAsia="zh-CN" w:bidi="ar-SA"/>
        </w:rPr>
        <w:t>24.开标</w:t>
      </w:r>
      <w:bookmarkEnd w:id="81"/>
      <w:bookmarkEnd w:id="82"/>
      <w:bookmarkEnd w:id="83"/>
    </w:p>
    <w:p w14:paraId="4C1AE8C0">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color w:val="auto"/>
          <w:highlight w:val="none"/>
        </w:rPr>
      </w:pPr>
      <w:r>
        <w:rPr>
          <w:rFonts w:hint="eastAsia" w:ascii="宋体" w:hAnsi="宋体" w:eastAsia="宋体" w:cs="Times New Roman"/>
          <w:b w:val="0"/>
          <w:i w:val="0"/>
          <w:color w:val="auto"/>
          <w:kern w:val="2"/>
          <w:sz w:val="21"/>
          <w:lang w:val="en-US" w:eastAsia="zh-CN" w:bidi="ar-SA"/>
        </w:rPr>
        <w:t>24.1</w:t>
      </w:r>
      <w:r>
        <w:rPr>
          <w:rFonts w:hint="eastAsia"/>
          <w:color w:val="auto"/>
          <w:highlight w:val="none"/>
        </w:rPr>
        <w:t>招标人将于投标截止期的同一时间按本须知前附表第22项所规定的地点公开举行开标会议。</w:t>
      </w:r>
    </w:p>
    <w:p w14:paraId="11204F10">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24.2</w:t>
      </w:r>
      <w:r>
        <w:rPr>
          <w:rFonts w:hint="eastAsia"/>
          <w:color w:val="auto"/>
          <w:highlight w:val="none"/>
        </w:rPr>
        <w:t>开标会议由招标代理组织并主持。</w:t>
      </w:r>
    </w:p>
    <w:p w14:paraId="6C23629D">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24.3</w:t>
      </w:r>
      <w:r>
        <w:rPr>
          <w:rFonts w:hint="eastAsia"/>
          <w:color w:val="auto"/>
          <w:highlight w:val="none"/>
        </w:rPr>
        <w:t>开标顺序</w:t>
      </w:r>
      <w:r>
        <w:rPr>
          <w:rFonts w:hint="eastAsia"/>
          <w:bCs/>
          <w:color w:val="auto"/>
          <w:highlight w:val="none"/>
        </w:rPr>
        <w:t>详见本须知前附表第25项。</w:t>
      </w:r>
      <w:r>
        <w:rPr>
          <w:rFonts w:hint="eastAsia"/>
          <w:color w:val="auto"/>
          <w:highlight w:val="none"/>
        </w:rPr>
        <w:t xml:space="preserve"> </w:t>
      </w:r>
    </w:p>
    <w:p w14:paraId="25023BB7">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84" w:name="_Toc169487804"/>
      <w:bookmarkStart w:id="85" w:name="_Toc155342557"/>
      <w:r>
        <w:rPr>
          <w:rFonts w:hint="eastAsia" w:ascii="黑体" w:hAnsi="宋体" w:eastAsia="黑体" w:cs="Times New Roman"/>
          <w:b/>
          <w:color w:val="auto"/>
          <w:kern w:val="2"/>
          <w:sz w:val="21"/>
          <w:lang w:val="en-US" w:eastAsia="zh-CN" w:bidi="ar-SA"/>
        </w:rPr>
        <w:t>25.投标文件公布</w:t>
      </w:r>
      <w:bookmarkEnd w:id="84"/>
      <w:bookmarkEnd w:id="85"/>
    </w:p>
    <w:p w14:paraId="56784D61">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25.1</w:t>
      </w:r>
      <w:r>
        <w:rPr>
          <w:color w:val="auto"/>
          <w:highlight w:val="none"/>
        </w:rPr>
        <w:t>由投标人或其推选的代表检查投标文件的密封情况</w:t>
      </w:r>
      <w:r>
        <w:rPr>
          <w:rFonts w:hint="eastAsia"/>
          <w:color w:val="auto"/>
          <w:highlight w:val="none"/>
        </w:rPr>
        <w:t>，未按本招标文件要求密封的投标文件则退还投标人，经确认无误后，由有关工作人员当众拆封，宣读投标承诺的主要内容。</w:t>
      </w:r>
    </w:p>
    <w:p w14:paraId="7EAB1B45">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25.2</w:t>
      </w:r>
      <w:r>
        <w:rPr>
          <w:rFonts w:hint="eastAsia"/>
          <w:color w:val="auto"/>
          <w:highlight w:val="none"/>
        </w:rPr>
        <w:t>招标人将对开标过程进行记录，以存档备查</w:t>
      </w:r>
      <w:r>
        <w:rPr>
          <w:color w:val="auto"/>
          <w:highlight w:val="none"/>
        </w:rPr>
        <w:t>。</w:t>
      </w:r>
    </w:p>
    <w:p w14:paraId="258D0B2A">
      <w:pPr>
        <w:pStyle w:val="6"/>
        <w:spacing w:line="360" w:lineRule="exact"/>
        <w:rPr>
          <w:rFonts w:hint="eastAsia"/>
          <w:color w:val="auto"/>
          <w:highlight w:val="none"/>
        </w:rPr>
      </w:pPr>
      <w:bookmarkStart w:id="86" w:name="_Toc500209419"/>
      <w:bookmarkStart w:id="87" w:name="_Toc169487805"/>
      <w:bookmarkStart w:id="88" w:name="_Toc500208488"/>
      <w:bookmarkStart w:id="89" w:name="_Toc500208495"/>
      <w:bookmarkStart w:id="90" w:name="_Toc500209420"/>
      <w:r>
        <w:rPr>
          <w:rFonts w:hint="eastAsia"/>
          <w:color w:val="auto"/>
          <w:highlight w:val="none"/>
        </w:rPr>
        <w:t>评   标</w:t>
      </w:r>
      <w:bookmarkEnd w:id="86"/>
      <w:bookmarkEnd w:id="87"/>
      <w:bookmarkEnd w:id="88"/>
    </w:p>
    <w:p w14:paraId="4B8CCE26">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91" w:name="_Toc169487806"/>
      <w:bookmarkStart w:id="92" w:name="_Toc500208489"/>
      <w:bookmarkStart w:id="93" w:name="_Toc155342559"/>
      <w:r>
        <w:rPr>
          <w:rFonts w:hint="eastAsia" w:ascii="黑体" w:hAnsi="宋体" w:eastAsia="黑体" w:cs="Times New Roman"/>
          <w:b/>
          <w:color w:val="auto"/>
          <w:kern w:val="2"/>
          <w:sz w:val="21"/>
          <w:lang w:val="en-US" w:eastAsia="zh-CN" w:bidi="ar-SA"/>
        </w:rPr>
        <w:t>26.评标会议</w:t>
      </w:r>
      <w:bookmarkEnd w:id="91"/>
      <w:bookmarkEnd w:id="92"/>
      <w:bookmarkEnd w:id="93"/>
    </w:p>
    <w:p w14:paraId="46C1FFCC">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color w:val="auto"/>
          <w:highlight w:val="none"/>
        </w:rPr>
      </w:pPr>
      <w:r>
        <w:rPr>
          <w:rFonts w:hint="eastAsia" w:ascii="宋体" w:hAnsi="宋体" w:eastAsia="宋体" w:cs="Times New Roman"/>
          <w:b w:val="0"/>
          <w:i w:val="0"/>
          <w:color w:val="auto"/>
          <w:kern w:val="2"/>
          <w:sz w:val="21"/>
          <w:lang w:val="en-US" w:eastAsia="zh-CN" w:bidi="ar-SA"/>
        </w:rPr>
        <w:t>26.1</w:t>
      </w:r>
      <w:r>
        <w:rPr>
          <w:color w:val="auto"/>
          <w:highlight w:val="none"/>
        </w:rPr>
        <w:t>招标人负责评标活动。</w:t>
      </w:r>
    </w:p>
    <w:p w14:paraId="062FEF3C">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26.2</w:t>
      </w:r>
      <w:r>
        <w:rPr>
          <w:color w:val="auto"/>
          <w:highlight w:val="none"/>
        </w:rPr>
        <w:t>开标结束后，开始评标，评标采用保密方式进行。</w:t>
      </w:r>
    </w:p>
    <w:p w14:paraId="4358C914">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94" w:name="_Toc169487807"/>
      <w:bookmarkStart w:id="95" w:name="_Toc155342560"/>
      <w:r>
        <w:rPr>
          <w:rFonts w:hint="eastAsia" w:ascii="黑体" w:hAnsi="宋体" w:eastAsia="黑体" w:cs="Times New Roman"/>
          <w:b/>
          <w:color w:val="auto"/>
          <w:kern w:val="2"/>
          <w:sz w:val="21"/>
          <w:lang w:val="en-US" w:eastAsia="zh-CN" w:bidi="ar-SA"/>
        </w:rPr>
        <w:t>27.评标过程的保密</w:t>
      </w:r>
      <w:bookmarkEnd w:id="94"/>
      <w:bookmarkEnd w:id="95"/>
    </w:p>
    <w:p w14:paraId="29ACEDBE">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color w:val="auto"/>
          <w:highlight w:val="none"/>
        </w:rPr>
      </w:pPr>
      <w:r>
        <w:rPr>
          <w:rFonts w:hint="eastAsia" w:ascii="宋体" w:hAnsi="宋体" w:eastAsia="宋体" w:cs="Times New Roman"/>
          <w:b w:val="0"/>
          <w:i w:val="0"/>
          <w:color w:val="auto"/>
          <w:kern w:val="2"/>
          <w:sz w:val="21"/>
          <w:lang w:val="en-US" w:eastAsia="zh-CN" w:bidi="ar-SA"/>
        </w:rPr>
        <w:t>27.1</w:t>
      </w:r>
      <w:r>
        <w:rPr>
          <w:color w:val="auto"/>
          <w:highlight w:val="none"/>
        </w:rPr>
        <w:t>开标后，直至授予中标人合同为止，凡属于对投标文件的审查、澄清、评价和比较的有关资料以及与评标有关的其他任何情况均严格保密。</w:t>
      </w:r>
    </w:p>
    <w:p w14:paraId="28563512">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color w:val="auto"/>
          <w:highlight w:val="none"/>
        </w:rPr>
      </w:pPr>
      <w:r>
        <w:rPr>
          <w:rFonts w:hint="eastAsia" w:ascii="宋体" w:hAnsi="宋体" w:eastAsia="宋体" w:cs="Times New Roman"/>
          <w:b w:val="0"/>
          <w:i w:val="0"/>
          <w:color w:val="auto"/>
          <w:kern w:val="2"/>
          <w:sz w:val="21"/>
          <w:lang w:val="en-US" w:eastAsia="zh-CN" w:bidi="ar-SA"/>
        </w:rPr>
        <w:t>27.2</w:t>
      </w:r>
      <w:r>
        <w:rPr>
          <w:color w:val="auto"/>
          <w:highlight w:val="none"/>
        </w:rPr>
        <w:t>在投标文件的评审和比较、中标候选人推荐以及授予合同的过程中，投标人向招标人施加影响的任何行为，都将会导致其投标被拒绝。</w:t>
      </w:r>
    </w:p>
    <w:p w14:paraId="31A85BCE">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color w:val="auto"/>
          <w:highlight w:val="none"/>
        </w:rPr>
      </w:pPr>
      <w:r>
        <w:rPr>
          <w:rFonts w:hint="eastAsia" w:ascii="宋体" w:hAnsi="宋体" w:eastAsia="宋体" w:cs="Times New Roman"/>
          <w:b w:val="0"/>
          <w:i w:val="0"/>
          <w:color w:val="auto"/>
          <w:kern w:val="2"/>
          <w:sz w:val="21"/>
          <w:lang w:val="en-US" w:eastAsia="zh-CN" w:bidi="ar-SA"/>
        </w:rPr>
        <w:t>27.3</w:t>
      </w:r>
      <w:r>
        <w:rPr>
          <w:color w:val="auto"/>
          <w:highlight w:val="none"/>
        </w:rPr>
        <w:t>中标人确定后，招标人不对未中标人就评标过程以及未能中标原因作出任何解释。未中标人不得向</w:t>
      </w:r>
      <w:r>
        <w:rPr>
          <w:rFonts w:hint="eastAsia"/>
          <w:color w:val="auto"/>
          <w:highlight w:val="none"/>
        </w:rPr>
        <w:t>招标人</w:t>
      </w:r>
      <w:r>
        <w:rPr>
          <w:color w:val="auto"/>
          <w:highlight w:val="none"/>
        </w:rPr>
        <w:t>或其他有关人员索问评标过程的情况和材料。</w:t>
      </w:r>
    </w:p>
    <w:p w14:paraId="58EC8C8C">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96" w:name="_Toc169487808"/>
      <w:bookmarkStart w:id="97" w:name="_Toc155342561"/>
      <w:r>
        <w:rPr>
          <w:rFonts w:hint="eastAsia" w:ascii="黑体" w:hAnsi="宋体" w:eastAsia="黑体" w:cs="Times New Roman"/>
          <w:b/>
          <w:color w:val="auto"/>
          <w:kern w:val="2"/>
          <w:sz w:val="21"/>
          <w:lang w:val="en-US" w:eastAsia="zh-CN" w:bidi="ar-SA"/>
        </w:rPr>
        <w:t>28.投标文件符合性鉴定</w:t>
      </w:r>
      <w:bookmarkEnd w:id="96"/>
      <w:bookmarkEnd w:id="97"/>
    </w:p>
    <w:p w14:paraId="0FD94A12">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28.1</w:t>
      </w:r>
      <w:r>
        <w:rPr>
          <w:rFonts w:hint="eastAsia"/>
          <w:color w:val="auto"/>
          <w:highlight w:val="none"/>
        </w:rPr>
        <w:t>招标人将首先评定每份投标文件是否在实质上响应了招标文件的要求。所谓实质上响应，是指投标文件应与招标文件的所有实质性条款、条件和要求相符，无显著差异或保留。实质性内容包括投标函是否按招标文件要求编制，总报价、质量、工期、投标资格等实质内容的承诺是否响应招标文件要求等。投标文件是否响应招标文件实质性内容由招标人界定。</w:t>
      </w:r>
    </w:p>
    <w:p w14:paraId="4045D817">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28.2</w:t>
      </w:r>
      <w:r>
        <w:rPr>
          <w:rFonts w:hint="eastAsia"/>
          <w:color w:val="auto"/>
          <w:highlight w:val="none"/>
        </w:rPr>
        <w:t>如果投标文件实质上不响应招标文件各项要求招标人将予以拒绝，并且不允许投标人通过修改或撤消其不符合要求的差异或保留，使之成为具有响应性的投标</w:t>
      </w:r>
      <w:r>
        <w:rPr>
          <w:color w:val="auto"/>
          <w:highlight w:val="none"/>
        </w:rPr>
        <w:t>。</w:t>
      </w:r>
    </w:p>
    <w:p w14:paraId="6F9C60AE">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98" w:name="_Toc155342562"/>
      <w:bookmarkStart w:id="99" w:name="_Toc169487809"/>
      <w:r>
        <w:rPr>
          <w:rFonts w:hint="eastAsia" w:ascii="黑体" w:hAnsi="宋体" w:eastAsia="黑体" w:cs="Times New Roman"/>
          <w:b/>
          <w:color w:val="auto"/>
          <w:kern w:val="2"/>
          <w:sz w:val="21"/>
          <w:lang w:val="en-US" w:eastAsia="zh-CN" w:bidi="ar-SA"/>
        </w:rPr>
        <w:t>29.投标文件的澄清</w:t>
      </w:r>
      <w:bookmarkEnd w:id="98"/>
      <w:bookmarkEnd w:id="99"/>
    </w:p>
    <w:p w14:paraId="07CFDFBE">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29.1</w:t>
      </w:r>
      <w:r>
        <w:rPr>
          <w:rFonts w:hint="eastAsia"/>
          <w:color w:val="auto"/>
          <w:highlight w:val="none"/>
        </w:rPr>
        <w:t>招标人可以书面方式要求投标人对其投标文件中细微偏差作必要的澄清、说明或者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澄清、说明或者补正应以书面方式进行并不得超出投标文件的范围或者改变投标文件的实质性内容。但根据本节错误的修正的规定，凡属于招标人在评标中发现的算术错误进行核实的修改不在此列。</w:t>
      </w:r>
    </w:p>
    <w:p w14:paraId="76118304">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29.2</w:t>
      </w:r>
      <w:r>
        <w:rPr>
          <w:rFonts w:hint="eastAsia"/>
          <w:color w:val="auto"/>
          <w:highlight w:val="none"/>
        </w:rPr>
        <w:t>评审过程中，招标人以书面形式通知投标人要求投标人就投标文件中的内容进行答辩</w:t>
      </w:r>
      <w:r>
        <w:rPr>
          <w:color w:val="auto"/>
          <w:highlight w:val="none"/>
        </w:rPr>
        <w:t>，</w:t>
      </w:r>
      <w:r>
        <w:rPr>
          <w:rFonts w:hint="eastAsia"/>
          <w:color w:val="auto"/>
          <w:highlight w:val="none"/>
        </w:rPr>
        <w:t>投标人应按要求进行答辩。</w:t>
      </w:r>
    </w:p>
    <w:p w14:paraId="30522F26">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00" w:name="_Toc169487810"/>
      <w:bookmarkStart w:id="101" w:name="_Toc155342563"/>
      <w:r>
        <w:rPr>
          <w:rFonts w:hint="eastAsia" w:ascii="黑体" w:hAnsi="宋体" w:eastAsia="黑体" w:cs="Times New Roman"/>
          <w:b/>
          <w:color w:val="auto"/>
          <w:kern w:val="2"/>
          <w:sz w:val="21"/>
          <w:lang w:val="en-US" w:eastAsia="zh-CN" w:bidi="ar-SA"/>
        </w:rPr>
        <w:t>30.投标文件的评审</w:t>
      </w:r>
      <w:bookmarkEnd w:id="100"/>
      <w:bookmarkEnd w:id="101"/>
    </w:p>
    <w:p w14:paraId="3D7C9789">
      <w:pPr>
        <w:pStyle w:val="4"/>
        <w:pageBreakBefore w:val="0"/>
        <w:widowControl w:val="0"/>
        <w:kinsoku/>
        <w:wordWrap/>
        <w:overflowPunct/>
        <w:topLinePunct w:val="0"/>
        <w:autoSpaceDE/>
        <w:autoSpaceDN/>
        <w:bidi w:val="0"/>
        <w:adjustRightInd w:val="0"/>
        <w:snapToGrid w:val="0"/>
        <w:spacing w:line="360" w:lineRule="exact"/>
        <w:ind w:left="0" w:leftChars="0" w:firstLine="422" w:firstLineChars="200"/>
        <w:jc w:val="both"/>
        <w:textAlignment w:val="auto"/>
        <w:rPr>
          <w:rFonts w:hint="eastAsia" w:ascii="黑体" w:eastAsia="黑体"/>
          <w:b/>
          <w:color w:val="auto"/>
          <w:highlight w:val="none"/>
        </w:rPr>
      </w:pPr>
      <w:r>
        <w:rPr>
          <w:rFonts w:hint="eastAsia" w:ascii="黑体" w:eastAsia="黑体"/>
          <w:b/>
          <w:bCs/>
          <w:color w:val="auto"/>
          <w:highlight w:val="none"/>
        </w:rPr>
        <w:t>30.1</w:t>
      </w:r>
      <w:r>
        <w:rPr>
          <w:rFonts w:hint="eastAsia" w:ascii="黑体" w:eastAsia="黑体"/>
          <w:b/>
          <w:color w:val="auto"/>
          <w:highlight w:val="none"/>
        </w:rPr>
        <w:t>招标人在评标过程中发现投标人的投标文件存在以下情形之一的，应当向投标人质询，如投标人拒绝说明或不能合理说明理由的，则招标人应认定该投标人有串通投标的嫌疑，其投标文件按无效标处理：</w:t>
      </w:r>
    </w:p>
    <w:p w14:paraId="28A813E4">
      <w:pPr>
        <w:pStyle w:val="15"/>
        <w:pageBreakBefore w:val="0"/>
        <w:widowControl w:val="0"/>
        <w:kinsoku/>
        <w:wordWrap/>
        <w:overflowPunct/>
        <w:topLinePunct w:val="0"/>
        <w:autoSpaceDE/>
        <w:autoSpaceDN/>
        <w:bidi w:val="0"/>
        <w:adjustRightInd w:val="0"/>
        <w:snapToGrid w:val="0"/>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olor w:val="auto"/>
          <w:sz w:val="21"/>
          <w:highlight w:val="none"/>
        </w:rPr>
        <w:t>（1）投标文件内容存在错漏之处一致或异常雷同现象；</w:t>
      </w:r>
    </w:p>
    <w:p w14:paraId="57CE2887">
      <w:pPr>
        <w:pStyle w:val="15"/>
        <w:pageBreakBefore w:val="0"/>
        <w:widowControl w:val="0"/>
        <w:kinsoku/>
        <w:wordWrap/>
        <w:overflowPunct/>
        <w:topLinePunct w:val="0"/>
        <w:autoSpaceDE/>
        <w:autoSpaceDN/>
        <w:bidi w:val="0"/>
        <w:adjustRightInd w:val="0"/>
        <w:snapToGrid w:val="0"/>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olor w:val="auto"/>
          <w:sz w:val="21"/>
          <w:highlight w:val="none"/>
        </w:rPr>
        <w:t>（2）投标文件由同一单位或同一人编制；</w:t>
      </w:r>
    </w:p>
    <w:p w14:paraId="5E961FB5">
      <w:pPr>
        <w:pStyle w:val="15"/>
        <w:pageBreakBefore w:val="0"/>
        <w:widowControl w:val="0"/>
        <w:kinsoku/>
        <w:wordWrap/>
        <w:overflowPunct/>
        <w:topLinePunct w:val="0"/>
        <w:autoSpaceDE/>
        <w:autoSpaceDN/>
        <w:bidi w:val="0"/>
        <w:adjustRightInd w:val="0"/>
        <w:snapToGrid w:val="0"/>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olor w:val="auto"/>
          <w:sz w:val="21"/>
          <w:highlight w:val="none"/>
        </w:rPr>
        <w:t>（3）投标文件中载明的项目管理班子系有同一人担任；</w:t>
      </w:r>
    </w:p>
    <w:p w14:paraId="2B8F67EF">
      <w:pPr>
        <w:pStyle w:val="15"/>
        <w:pageBreakBefore w:val="0"/>
        <w:widowControl w:val="0"/>
        <w:kinsoku/>
        <w:wordWrap/>
        <w:overflowPunct/>
        <w:topLinePunct w:val="0"/>
        <w:autoSpaceDE/>
        <w:autoSpaceDN/>
        <w:bidi w:val="0"/>
        <w:adjustRightInd w:val="0"/>
        <w:snapToGrid w:val="0"/>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olor w:val="auto"/>
          <w:sz w:val="21"/>
          <w:highlight w:val="none"/>
        </w:rPr>
        <w:t>（4）投标文件由同一台电脑编制或同一附属设备打印；</w:t>
      </w:r>
    </w:p>
    <w:p w14:paraId="7C7860ED">
      <w:pPr>
        <w:pStyle w:val="15"/>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color w:val="auto"/>
          <w:sz w:val="21"/>
          <w:szCs w:val="21"/>
          <w:highlight w:val="none"/>
        </w:rPr>
      </w:pPr>
      <w:r>
        <w:rPr>
          <w:rFonts w:hint="eastAsia" w:ascii="宋体" w:hAnsi="宋体" w:eastAsia="宋体"/>
          <w:color w:val="auto"/>
          <w:sz w:val="21"/>
          <w:highlight w:val="none"/>
        </w:rPr>
        <w:t>（5）涉嫌故意拉高或压低投标报价。</w:t>
      </w:r>
    </w:p>
    <w:p w14:paraId="08DC7A27">
      <w:pPr>
        <w:pStyle w:val="15"/>
        <w:pageBreakBefore w:val="0"/>
        <w:widowControl w:val="0"/>
        <w:kinsoku/>
        <w:wordWrap/>
        <w:overflowPunct/>
        <w:topLinePunct w:val="0"/>
        <w:autoSpaceDE/>
        <w:autoSpaceDN/>
        <w:bidi w:val="0"/>
        <w:spacing w:line="360" w:lineRule="exact"/>
        <w:ind w:left="0" w:leftChars="0" w:firstLine="422" w:firstLineChars="200"/>
        <w:jc w:val="both"/>
        <w:textAlignment w:val="auto"/>
        <w:rPr>
          <w:rFonts w:hint="eastAsia" w:ascii="黑体" w:eastAsia="黑体"/>
          <w:b/>
          <w:color w:val="auto"/>
          <w:highlight w:val="none"/>
        </w:rPr>
      </w:pPr>
      <w:r>
        <w:rPr>
          <w:rFonts w:hint="eastAsia" w:ascii="黑体" w:hAnsi="宋体" w:eastAsia="黑体"/>
          <w:b/>
          <w:color w:val="auto"/>
          <w:sz w:val="21"/>
          <w:highlight w:val="none"/>
        </w:rPr>
        <w:t>30.2投标文件有下列情形之一的，由招标人初审后按无效标处理：</w:t>
      </w:r>
    </w:p>
    <w:p w14:paraId="6B9BE07B">
      <w:pPr>
        <w:pStyle w:val="15"/>
        <w:pageBreakBefore w:val="0"/>
        <w:widowControl w:val="0"/>
        <w:numPr>
          <w:ilvl w:val="0"/>
          <w:numId w:val="0"/>
        </w:numPr>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cs="Times New Roman"/>
          <w:bCs/>
          <w:color w:val="auto"/>
          <w:kern w:val="2"/>
          <w:sz w:val="21"/>
          <w:lang w:val="en-US" w:eastAsia="zh-CN" w:bidi="ar-SA"/>
        </w:rPr>
        <w:t>（1）</w:t>
      </w:r>
      <w:r>
        <w:rPr>
          <w:rFonts w:hint="eastAsia" w:ascii="宋体" w:hAnsi="宋体" w:eastAsia="宋体"/>
          <w:bCs/>
          <w:color w:val="auto"/>
          <w:sz w:val="21"/>
          <w:highlight w:val="none"/>
        </w:rPr>
        <w:t>投标人递交两份或多份内容不同的投标文件，或在一份投标文件中对同一招标项目报有两个或多个报价，且未声明哪一个有效，按招标文件规定提交备选投标方案的除外；</w:t>
      </w:r>
    </w:p>
    <w:p w14:paraId="76CAABD2">
      <w:pPr>
        <w:pStyle w:val="15"/>
        <w:pageBreakBefore w:val="0"/>
        <w:widowControl w:val="0"/>
        <w:numPr>
          <w:ilvl w:val="0"/>
          <w:numId w:val="0"/>
        </w:numPr>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cs="Times New Roman"/>
          <w:bCs/>
          <w:color w:val="auto"/>
          <w:kern w:val="2"/>
          <w:sz w:val="21"/>
          <w:lang w:val="en-US" w:eastAsia="zh-CN" w:bidi="ar-SA"/>
        </w:rPr>
        <w:t>（2）</w:t>
      </w:r>
      <w:r>
        <w:rPr>
          <w:rFonts w:hint="eastAsia" w:ascii="宋体" w:hAnsi="宋体" w:eastAsia="宋体"/>
          <w:bCs/>
          <w:color w:val="auto"/>
          <w:sz w:val="21"/>
          <w:highlight w:val="none"/>
        </w:rPr>
        <w:t>投标文件未按招标文件签署条款要求签章的；</w:t>
      </w:r>
    </w:p>
    <w:p w14:paraId="792262F5">
      <w:pPr>
        <w:pStyle w:val="15"/>
        <w:pageBreakBefore w:val="0"/>
        <w:widowControl w:val="0"/>
        <w:numPr>
          <w:ilvl w:val="0"/>
          <w:numId w:val="0"/>
        </w:numPr>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cs="Times New Roman"/>
          <w:bCs/>
          <w:color w:val="auto"/>
          <w:kern w:val="2"/>
          <w:sz w:val="21"/>
          <w:lang w:val="en-US" w:eastAsia="zh-CN" w:bidi="ar-SA"/>
        </w:rPr>
        <w:t>（3）</w:t>
      </w:r>
      <w:r>
        <w:rPr>
          <w:rFonts w:hint="eastAsia" w:ascii="宋体" w:hAnsi="宋体" w:eastAsia="宋体"/>
          <w:bCs/>
          <w:color w:val="auto"/>
          <w:sz w:val="21"/>
          <w:highlight w:val="none"/>
        </w:rPr>
        <w:t>投标文件份数不符合</w:t>
      </w:r>
      <w:r>
        <w:rPr>
          <w:rFonts w:ascii="宋体" w:hAnsi="宋体" w:eastAsia="宋体"/>
          <w:bCs/>
          <w:color w:val="auto"/>
          <w:sz w:val="21"/>
          <w:highlight w:val="none"/>
        </w:rPr>
        <w:t>招标文件</w:t>
      </w:r>
      <w:r>
        <w:rPr>
          <w:rFonts w:hint="eastAsia" w:ascii="宋体" w:hAnsi="宋体" w:eastAsia="宋体"/>
          <w:bCs/>
          <w:color w:val="auto"/>
          <w:sz w:val="21"/>
          <w:highlight w:val="none"/>
        </w:rPr>
        <w:t>前附表</w:t>
      </w:r>
      <w:r>
        <w:rPr>
          <w:rFonts w:ascii="宋体" w:hAnsi="宋体" w:eastAsia="宋体"/>
          <w:bCs/>
          <w:color w:val="auto"/>
          <w:sz w:val="21"/>
          <w:highlight w:val="none"/>
        </w:rPr>
        <w:t>要求的</w:t>
      </w:r>
      <w:r>
        <w:rPr>
          <w:rFonts w:hint="eastAsia" w:ascii="宋体" w:hAnsi="宋体" w:eastAsia="宋体"/>
          <w:bCs/>
          <w:color w:val="auto"/>
          <w:sz w:val="21"/>
          <w:highlight w:val="none"/>
        </w:rPr>
        <w:t>；</w:t>
      </w:r>
    </w:p>
    <w:p w14:paraId="7117B656">
      <w:pPr>
        <w:pStyle w:val="15"/>
        <w:pageBreakBefore w:val="0"/>
        <w:widowControl w:val="0"/>
        <w:numPr>
          <w:ilvl w:val="0"/>
          <w:numId w:val="0"/>
        </w:numPr>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cs="Times New Roman"/>
          <w:bCs/>
          <w:color w:val="auto"/>
          <w:kern w:val="2"/>
          <w:sz w:val="21"/>
          <w:lang w:val="en-US" w:eastAsia="zh-CN" w:bidi="ar-SA"/>
        </w:rPr>
        <w:t>（4）</w:t>
      </w:r>
      <w:r>
        <w:rPr>
          <w:rFonts w:hint="eastAsia" w:ascii="宋体" w:hAnsi="宋体" w:eastAsia="宋体"/>
          <w:bCs/>
          <w:color w:val="auto"/>
          <w:sz w:val="21"/>
          <w:highlight w:val="none"/>
        </w:rPr>
        <w:t>投标文件组成不符合招标文件要求的；</w:t>
      </w:r>
    </w:p>
    <w:p w14:paraId="1FBD219B">
      <w:pPr>
        <w:pStyle w:val="15"/>
        <w:pageBreakBefore w:val="0"/>
        <w:widowControl w:val="0"/>
        <w:numPr>
          <w:ilvl w:val="0"/>
          <w:numId w:val="0"/>
        </w:numPr>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cs="Times New Roman"/>
          <w:bCs/>
          <w:color w:val="auto"/>
          <w:kern w:val="2"/>
          <w:sz w:val="21"/>
          <w:lang w:val="en-US" w:eastAsia="zh-CN" w:bidi="ar-SA"/>
        </w:rPr>
        <w:t>（5）</w:t>
      </w:r>
      <w:r>
        <w:rPr>
          <w:rFonts w:hint="eastAsia" w:ascii="宋体" w:hAnsi="宋体" w:eastAsia="宋体"/>
          <w:bCs/>
          <w:color w:val="auto"/>
          <w:sz w:val="21"/>
          <w:highlight w:val="none"/>
        </w:rPr>
        <w:t>法律法规规定无效标的。</w:t>
      </w:r>
    </w:p>
    <w:p w14:paraId="74EBF328">
      <w:pPr>
        <w:pStyle w:val="15"/>
        <w:pageBreakBefore w:val="0"/>
        <w:widowControl w:val="0"/>
        <w:kinsoku/>
        <w:wordWrap/>
        <w:overflowPunct/>
        <w:topLinePunct w:val="0"/>
        <w:autoSpaceDE/>
        <w:autoSpaceDN/>
        <w:bidi w:val="0"/>
        <w:spacing w:line="360" w:lineRule="exact"/>
        <w:ind w:left="0" w:leftChars="0" w:firstLine="422" w:firstLineChars="200"/>
        <w:jc w:val="both"/>
        <w:textAlignment w:val="auto"/>
        <w:rPr>
          <w:rFonts w:hint="eastAsia" w:ascii="黑体" w:hAnsi="宋体" w:eastAsia="黑体"/>
          <w:b/>
          <w:color w:val="auto"/>
          <w:sz w:val="21"/>
          <w:highlight w:val="none"/>
        </w:rPr>
      </w:pPr>
      <w:r>
        <w:rPr>
          <w:rFonts w:hint="eastAsia" w:ascii="黑体" w:hAnsi="宋体" w:eastAsia="黑体"/>
          <w:b/>
          <w:bCs/>
          <w:color w:val="auto"/>
          <w:sz w:val="21"/>
          <w:highlight w:val="none"/>
        </w:rPr>
        <w:t>30.3</w:t>
      </w:r>
      <w:r>
        <w:rPr>
          <w:rFonts w:hint="eastAsia" w:ascii="黑体" w:hAnsi="宋体" w:eastAsia="黑体"/>
          <w:b/>
          <w:color w:val="auto"/>
          <w:sz w:val="21"/>
          <w:highlight w:val="none"/>
        </w:rPr>
        <w:t>投标文件有下列情形之一的，由招标人进行实质性评审后按无效标处理：</w:t>
      </w:r>
    </w:p>
    <w:p w14:paraId="2CBE61A3">
      <w:pPr>
        <w:pStyle w:val="15"/>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（1）投标承诺的总报价、工期、质量、投标资格等不符合招标文件前附表要求的；</w:t>
      </w:r>
    </w:p>
    <w:p w14:paraId="0B856784">
      <w:pPr>
        <w:pStyle w:val="15"/>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（2）招标文件报价要求中规定作无效标的；</w:t>
      </w:r>
    </w:p>
    <w:p w14:paraId="65CB62B3">
      <w:pPr>
        <w:pStyle w:val="15"/>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（3）违反招标文件其他实质性条款规定的。</w:t>
      </w:r>
    </w:p>
    <w:p w14:paraId="2F07C3D3">
      <w:pPr>
        <w:pStyle w:val="15"/>
        <w:pageBreakBefore w:val="0"/>
        <w:widowControl w:val="0"/>
        <w:kinsoku/>
        <w:wordWrap/>
        <w:overflowPunct/>
        <w:topLinePunct w:val="0"/>
        <w:autoSpaceDE/>
        <w:autoSpaceDN/>
        <w:bidi w:val="0"/>
        <w:spacing w:line="360" w:lineRule="exact"/>
        <w:ind w:left="0" w:leftChars="0" w:firstLine="422" w:firstLineChars="200"/>
        <w:jc w:val="both"/>
        <w:textAlignment w:val="auto"/>
        <w:rPr>
          <w:rFonts w:hint="eastAsia" w:ascii="黑体" w:hAnsi="宋体" w:eastAsia="黑体"/>
          <w:b/>
          <w:color w:val="auto"/>
          <w:sz w:val="21"/>
          <w:szCs w:val="21"/>
          <w:highlight w:val="none"/>
        </w:rPr>
      </w:pPr>
      <w:r>
        <w:rPr>
          <w:rFonts w:hint="eastAsia" w:ascii="黑体" w:hAnsi="宋体" w:eastAsia="黑体"/>
          <w:b/>
          <w:bCs/>
          <w:color w:val="auto"/>
          <w:sz w:val="21"/>
          <w:highlight w:val="none"/>
        </w:rPr>
        <w:t>30.4</w:t>
      </w:r>
      <w:r>
        <w:rPr>
          <w:rFonts w:hint="eastAsia" w:ascii="黑体" w:hAnsi="宋体" w:eastAsia="黑体"/>
          <w:b/>
          <w:color w:val="auto"/>
          <w:sz w:val="21"/>
          <w:highlight w:val="none"/>
        </w:rPr>
        <w:t>投标文件有下列情形之一的，</w:t>
      </w:r>
      <w:r>
        <w:rPr>
          <w:rFonts w:hint="eastAsia" w:ascii="黑体" w:hAnsi="宋体" w:eastAsia="黑体"/>
          <w:b/>
          <w:color w:val="auto"/>
          <w:sz w:val="21"/>
          <w:szCs w:val="21"/>
          <w:highlight w:val="none"/>
        </w:rPr>
        <w:t>经招标人详细评审后认定该投标文件对招标文件要求存在重大偏离的，则该投标文件按无效标处理：</w:t>
      </w:r>
    </w:p>
    <w:p w14:paraId="0A62BE3B">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bCs/>
          <w:color w:val="auto"/>
          <w:highlight w:val="none"/>
        </w:rPr>
      </w:pPr>
      <w:r>
        <w:rPr>
          <w:rFonts w:hint="eastAsia"/>
          <w:bCs/>
          <w:color w:val="auto"/>
          <w:highlight w:val="none"/>
        </w:rPr>
        <w:t>（1）经商务标修正后，属招标文件报价要求中规定无效标的；</w:t>
      </w:r>
    </w:p>
    <w:p w14:paraId="67D18495">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eastAsia="宋体"/>
          <w:color w:val="auto"/>
          <w:highlight w:val="none"/>
          <w:lang w:eastAsia="zh-CN"/>
        </w:rPr>
      </w:pPr>
      <w:r>
        <w:rPr>
          <w:rFonts w:hint="eastAsia"/>
          <w:bCs/>
          <w:color w:val="auto"/>
          <w:highlight w:val="none"/>
        </w:rPr>
        <w:t>（2）招标文件中</w:t>
      </w:r>
      <w:r>
        <w:rPr>
          <w:rFonts w:hint="eastAsia"/>
          <w:color w:val="auto"/>
          <w:highlight w:val="none"/>
        </w:rPr>
        <w:t>其他内容明确规定作无效标的</w:t>
      </w:r>
      <w:r>
        <w:rPr>
          <w:rFonts w:hint="eastAsia"/>
          <w:color w:val="auto"/>
          <w:highlight w:val="none"/>
          <w:lang w:eastAsia="zh-CN"/>
        </w:rPr>
        <w:t>；</w:t>
      </w:r>
    </w:p>
    <w:p w14:paraId="2B7A1087">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eastAsia="宋体"/>
          <w:color w:val="auto"/>
          <w:highlight w:val="none"/>
          <w:lang w:eastAsia="zh-CN"/>
        </w:rPr>
      </w:pPr>
      <w:r>
        <w:rPr>
          <w:rFonts w:hint="eastAsia"/>
          <w:color w:val="auto"/>
          <w:highlight w:val="none"/>
        </w:rPr>
        <w:t>（3）商务标内容模糊等导致报价等实质性内容无法识别的</w:t>
      </w:r>
      <w:r>
        <w:rPr>
          <w:rFonts w:hint="eastAsia"/>
          <w:color w:val="auto"/>
          <w:highlight w:val="none"/>
          <w:lang w:eastAsia="zh-CN"/>
        </w:rPr>
        <w:t>；</w:t>
      </w:r>
    </w:p>
    <w:p w14:paraId="0B532ADA">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（4）其他对招标文件要求存在重大偏离的。</w:t>
      </w:r>
    </w:p>
    <w:p w14:paraId="0D8BF344">
      <w:pPr>
        <w:pStyle w:val="4"/>
        <w:pageBreakBefore w:val="0"/>
        <w:widowControl w:val="0"/>
        <w:kinsoku/>
        <w:wordWrap/>
        <w:overflowPunct/>
        <w:topLinePunct w:val="0"/>
        <w:autoSpaceDE/>
        <w:autoSpaceDN/>
        <w:bidi w:val="0"/>
        <w:spacing w:line="360" w:lineRule="exact"/>
        <w:ind w:left="0" w:leftChars="0" w:firstLine="422" w:firstLineChars="200"/>
        <w:jc w:val="both"/>
        <w:textAlignment w:val="auto"/>
        <w:rPr>
          <w:rFonts w:hint="eastAsia"/>
          <w:color w:val="auto"/>
          <w:highlight w:val="none"/>
        </w:rPr>
      </w:pPr>
      <w:r>
        <w:rPr>
          <w:rFonts w:hint="eastAsia" w:ascii="黑体" w:eastAsia="黑体"/>
          <w:b/>
          <w:bCs/>
          <w:color w:val="auto"/>
          <w:highlight w:val="none"/>
        </w:rPr>
        <w:t>30.5</w:t>
      </w:r>
      <w:r>
        <w:rPr>
          <w:rFonts w:hint="eastAsia"/>
          <w:color w:val="auto"/>
          <w:highlight w:val="none"/>
        </w:rPr>
        <w:t>如有效标不足三家使得投标明显缺乏竞争的，招标人可以否决全部投标。所有投标被否决的，则本次招标失败,重新组织招标。</w:t>
      </w:r>
    </w:p>
    <w:p w14:paraId="1EAE9AD8">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02" w:name="_Toc169487811"/>
      <w:bookmarkStart w:id="103" w:name="_Toc155342564"/>
      <w:r>
        <w:rPr>
          <w:rFonts w:hint="eastAsia" w:ascii="黑体" w:hAnsi="宋体" w:eastAsia="黑体" w:cs="Times New Roman"/>
          <w:b/>
          <w:color w:val="auto"/>
          <w:kern w:val="2"/>
          <w:sz w:val="21"/>
          <w:lang w:val="en-US" w:eastAsia="zh-CN" w:bidi="ar-SA"/>
        </w:rPr>
        <w:t>31.商务标的修正</w:t>
      </w:r>
      <w:bookmarkEnd w:id="102"/>
      <w:bookmarkEnd w:id="103"/>
    </w:p>
    <w:p w14:paraId="10741CC4">
      <w:pPr>
        <w:pStyle w:val="28"/>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olor w:val="auto"/>
          <w:sz w:val="21"/>
          <w:highlight w:val="none"/>
        </w:rPr>
        <w:t>修正错误的顺序和原则如下：投标人投标函以文字表示的投标报价和以数字表示的投标报价不一致时，以文字表示的报价为准，并相应调整以数字表示的报价。</w:t>
      </w:r>
    </w:p>
    <w:p w14:paraId="6476B135">
      <w:pPr>
        <w:pStyle w:val="15"/>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olor w:val="auto"/>
          <w:sz w:val="21"/>
          <w:highlight w:val="none"/>
        </w:rPr>
        <w:t>按上述修正错误的原则，调整或修正投标文件的投标报价，经投标人确认后，调整后的投标报价对投标人起约束作用</w:t>
      </w:r>
      <w:r>
        <w:rPr>
          <w:rFonts w:ascii="宋体" w:hAnsi="宋体" w:eastAsia="宋体"/>
          <w:color w:val="auto"/>
          <w:sz w:val="21"/>
          <w:highlight w:val="none"/>
        </w:rPr>
        <w:t>。</w:t>
      </w:r>
      <w:r>
        <w:rPr>
          <w:rFonts w:hint="eastAsia" w:ascii="宋体" w:hAnsi="宋体" w:eastAsia="宋体"/>
          <w:color w:val="auto"/>
          <w:sz w:val="21"/>
          <w:highlight w:val="none"/>
        </w:rPr>
        <w:t>如果投标人不接受或者投标人在评标结束之前不能到场确认的，招标人将调整或修正后的投标报价作为该投标人的投标报价，进入商务标详细评审，但不接受修正的投标人最终将丧失其中标资格。</w:t>
      </w:r>
    </w:p>
    <w:p w14:paraId="3D293698">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04" w:name="_Toc169487812"/>
      <w:bookmarkStart w:id="105" w:name="_Toc155342565"/>
      <w:r>
        <w:rPr>
          <w:rFonts w:hint="eastAsia" w:ascii="黑体" w:hAnsi="宋体" w:eastAsia="黑体" w:cs="Times New Roman"/>
          <w:b/>
          <w:color w:val="auto"/>
          <w:kern w:val="2"/>
          <w:sz w:val="21"/>
          <w:lang w:val="en-US" w:eastAsia="zh-CN" w:bidi="ar-SA"/>
        </w:rPr>
        <w:t>32.评标办法</w:t>
      </w:r>
      <w:bookmarkEnd w:id="104"/>
      <w:bookmarkEnd w:id="105"/>
    </w:p>
    <w:p w14:paraId="283911DF">
      <w:pPr>
        <w:pStyle w:val="15"/>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32.1本工程项目采用的评标办法见本须知前附表第2</w:t>
      </w:r>
      <w:r>
        <w:rPr>
          <w:rFonts w:hint="eastAsia" w:ascii="宋体" w:hAnsi="宋体" w:eastAsia="宋体"/>
          <w:bCs/>
          <w:color w:val="auto"/>
          <w:sz w:val="21"/>
          <w:highlight w:val="none"/>
          <w:lang w:val="en-US" w:eastAsia="zh-CN"/>
        </w:rPr>
        <w:t>6</w:t>
      </w:r>
      <w:r>
        <w:rPr>
          <w:rFonts w:hint="eastAsia" w:ascii="宋体" w:hAnsi="宋体" w:eastAsia="宋体"/>
          <w:bCs/>
          <w:color w:val="auto"/>
          <w:sz w:val="21"/>
          <w:highlight w:val="none"/>
        </w:rPr>
        <w:t>项，具体内容详见本招标文件第</w:t>
      </w:r>
      <w:r>
        <w:rPr>
          <w:rFonts w:hint="eastAsia" w:ascii="宋体" w:hAnsi="宋体" w:eastAsia="宋体"/>
          <w:bCs/>
          <w:color w:val="auto"/>
          <w:sz w:val="21"/>
          <w:highlight w:val="none"/>
          <w:lang w:val="en-US" w:eastAsia="zh-CN"/>
        </w:rPr>
        <w:t>五</w:t>
      </w:r>
      <w:r>
        <w:rPr>
          <w:rFonts w:hint="eastAsia" w:ascii="宋体" w:hAnsi="宋体" w:eastAsia="宋体"/>
          <w:bCs/>
          <w:color w:val="auto"/>
          <w:sz w:val="21"/>
          <w:highlight w:val="none"/>
        </w:rPr>
        <w:t>章。</w:t>
      </w:r>
    </w:p>
    <w:p w14:paraId="44AD31CD">
      <w:pPr>
        <w:pStyle w:val="6"/>
        <w:spacing w:line="300" w:lineRule="exact"/>
        <w:rPr>
          <w:rFonts w:hint="eastAsia"/>
          <w:color w:val="auto"/>
          <w:highlight w:val="none"/>
        </w:rPr>
      </w:pPr>
      <w:bookmarkStart w:id="106" w:name="_Toc169487813"/>
      <w:r>
        <w:rPr>
          <w:rFonts w:hint="eastAsia"/>
          <w:color w:val="auto"/>
          <w:highlight w:val="none"/>
        </w:rPr>
        <w:t>授予合同</w:t>
      </w:r>
      <w:bookmarkEnd w:id="89"/>
      <w:bookmarkEnd w:id="90"/>
      <w:bookmarkEnd w:id="106"/>
    </w:p>
    <w:p w14:paraId="39CE0E40">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07" w:name="_Toc500208496"/>
      <w:bookmarkStart w:id="108" w:name="_Toc155342568"/>
      <w:bookmarkStart w:id="109" w:name="_Toc169487815"/>
      <w:bookmarkStart w:id="110" w:name="_Toc500208498"/>
      <w:bookmarkStart w:id="111" w:name="_Toc169487818"/>
      <w:r>
        <w:rPr>
          <w:rFonts w:hint="eastAsia" w:ascii="黑体" w:hAnsi="宋体" w:eastAsia="黑体" w:cs="Times New Roman"/>
          <w:b/>
          <w:color w:val="auto"/>
          <w:kern w:val="2"/>
          <w:sz w:val="21"/>
          <w:lang w:val="en-US" w:eastAsia="zh-CN" w:bidi="ar-SA"/>
        </w:rPr>
        <w:t>33.中标公示</w:t>
      </w:r>
    </w:p>
    <w:p w14:paraId="22E6EC01">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33.1招标人应当将推荐的中标候选人进行公示，公示期不得少于3日。</w:t>
      </w:r>
    </w:p>
    <w:p w14:paraId="0C5E28DB">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33.2公示期间，投标人对评标结果有异议的，可向招标人（招标代理机构）提出，招标人（招标代理机构）应给予答复。</w:t>
      </w:r>
    </w:p>
    <w:p w14:paraId="014E39BC">
      <w:pPr>
        <w:pStyle w:val="7"/>
        <w:pageBreakBefore w:val="0"/>
        <w:widowControl w:val="0"/>
        <w:numPr>
          <w:ilvl w:val="0"/>
          <w:numId w:val="0"/>
        </w:numPr>
        <w:kinsoku/>
        <w:wordWrap/>
        <w:overflowPunct/>
        <w:topLinePunct w:val="0"/>
        <w:autoSpaceDE/>
        <w:autoSpaceDN/>
        <w:bidi w:val="0"/>
        <w:adjustRightInd/>
        <w:snapToGrid/>
        <w:spacing w:line="360" w:lineRule="exact"/>
        <w:ind w:left="0" w:leftChars="0" w:firstLine="422" w:firstLineChars="200"/>
        <w:jc w:val="both"/>
        <w:textAlignment w:val="auto"/>
        <w:rPr>
          <w:rFonts w:hint="eastAsia"/>
          <w:color w:val="auto"/>
          <w:highlight w:val="none"/>
        </w:rPr>
      </w:pPr>
      <w:r>
        <w:rPr>
          <w:rFonts w:hint="eastAsia" w:ascii="黑体" w:hAnsi="宋体" w:eastAsia="黑体" w:cs="Times New Roman"/>
          <w:b/>
          <w:color w:val="auto"/>
          <w:kern w:val="2"/>
          <w:sz w:val="21"/>
          <w:lang w:val="en-US" w:eastAsia="zh-CN" w:bidi="ar-SA"/>
        </w:rPr>
        <w:t>34.</w:t>
      </w:r>
      <w:r>
        <w:rPr>
          <w:rFonts w:hint="eastAsia"/>
          <w:color w:val="auto"/>
          <w:highlight w:val="none"/>
        </w:rPr>
        <w:t>中标通知书</w:t>
      </w:r>
    </w:p>
    <w:p w14:paraId="0142FC7B">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35.1中标人确定后，招标人应当向中标人发出《中标通知书》。</w:t>
      </w:r>
    </w:p>
    <w:p w14:paraId="08E67AB5">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35.2招标人在发出中标通知书的同时，将中标结果以书面形式通知所有未中标的投标人。</w:t>
      </w:r>
    </w:p>
    <w:p w14:paraId="0D1A3386">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35.3《建设工程中标通知书》对招标人和中标人具有法律约束力。《建设工程中标通知书》发出后，如中标人违反法律法规规定而中标无效的，应承担相应的法律责任，招标人可以确定第二中标候选人为中标人，也可以确定重新招标。</w:t>
      </w:r>
    </w:p>
    <w:bookmarkEnd w:id="107"/>
    <w:bookmarkEnd w:id="108"/>
    <w:bookmarkEnd w:id="109"/>
    <w:p w14:paraId="1DD4994D">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12" w:name="_Toc169487817"/>
      <w:bookmarkStart w:id="113" w:name="_Toc155342569"/>
      <w:r>
        <w:rPr>
          <w:rFonts w:hint="eastAsia" w:ascii="黑体" w:hAnsi="宋体" w:eastAsia="黑体" w:cs="Times New Roman"/>
          <w:b/>
          <w:color w:val="auto"/>
          <w:kern w:val="2"/>
          <w:sz w:val="21"/>
          <w:lang w:val="en-US" w:eastAsia="zh-CN" w:bidi="ar-SA"/>
        </w:rPr>
        <w:t>35.合同签订</w:t>
      </w:r>
      <w:bookmarkEnd w:id="112"/>
      <w:bookmarkEnd w:id="113"/>
    </w:p>
    <w:p w14:paraId="00CEA6F2">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36.1自《建设工程中标通知书》发出之日起30日内，招标人应当与中标人按照本招标文件和中标人的投标文件订立书面合同。招标人与中标人不得再行订立背离合同实质性内容的其他协议。</w:t>
      </w:r>
    </w:p>
    <w:p w14:paraId="55A1A896">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36.2招标人与中标人须根据国家、省、市建设工程施工合同管理的规定及招标文件、投标文件，签定施工合同。</w:t>
      </w:r>
    </w:p>
    <w:bookmarkEnd w:id="110"/>
    <w:p w14:paraId="2B6A0BC6">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sectPr>
          <w:headerReference r:id="rId8" w:type="default"/>
          <w:footnotePr>
            <w:numRestart w:val="eachPage"/>
          </w:footnotePr>
          <w:endnotePr>
            <w:numRestart w:val="eachSect"/>
          </w:endnotePr>
          <w:pgSz w:w="11907" w:h="16840"/>
          <w:pgMar w:top="1247" w:right="1361" w:bottom="1247" w:left="1361" w:header="851" w:footer="824" w:gutter="0"/>
          <w:cols w:space="720" w:num="1"/>
          <w:docGrid w:linePitch="435" w:charSpace="-6554"/>
        </w:sectPr>
      </w:pPr>
      <w:r>
        <w:rPr>
          <w:rFonts w:hint="eastAsia" w:ascii="宋体" w:hAnsi="宋体" w:eastAsia="宋体"/>
          <w:bCs/>
          <w:color w:val="auto"/>
          <w:sz w:val="21"/>
          <w:highlight w:val="none"/>
        </w:rPr>
        <w:t>36.3招标人与中标人应当按照《关于在我市工程建设领域推行廉政合同的通知》（台纪[2001]19号）的要求签订《廉政合同》。</w:t>
      </w:r>
    </w:p>
    <w:bookmarkEnd w:id="10"/>
    <w:bookmarkEnd w:id="11"/>
    <w:bookmarkEnd w:id="111"/>
    <w:p w14:paraId="4FCAA444">
      <w:pPr>
        <w:pStyle w:val="5"/>
        <w:ind w:left="0"/>
        <w:rPr>
          <w:color w:val="auto"/>
          <w:highlight w:val="none"/>
        </w:rPr>
      </w:pPr>
      <w:bookmarkStart w:id="114" w:name="_Toc320542180"/>
      <w:bookmarkStart w:id="115" w:name="_Toc103956896"/>
      <w:bookmarkStart w:id="116" w:name="_Toc103956897"/>
      <w:bookmarkStart w:id="117" w:name="_Toc100474483"/>
      <w:bookmarkStart w:id="118" w:name="_Toc136335614"/>
      <w:bookmarkStart w:id="119" w:name="_Toc107735839"/>
      <w:r>
        <w:rPr>
          <w:rFonts w:hint="eastAsia"/>
          <w:color w:val="auto"/>
          <w:highlight w:val="none"/>
        </w:rPr>
        <w:t>第二章  合同条款</w:t>
      </w:r>
      <w:bookmarkEnd w:id="114"/>
    </w:p>
    <w:p w14:paraId="1CB566DE">
      <w:pPr>
        <w:adjustRightInd w:val="0"/>
        <w:snapToGrid w:val="0"/>
        <w:spacing w:line="360" w:lineRule="auto"/>
        <w:ind w:firstLine="420" w:firstLineChars="200"/>
        <w:jc w:val="left"/>
        <w:rPr>
          <w:rFonts w:hint="eastAsia" w:ascii="宋体" w:hAnsi="宋体" w:eastAsia="宋体" w:cs="宋体"/>
          <w:color w:val="auto"/>
          <w:sz w:val="21"/>
          <w:szCs w:val="21"/>
          <w:highlight w:val="none"/>
        </w:rPr>
      </w:pPr>
      <w:bookmarkStart w:id="120" w:name="_Toc239477934"/>
      <w:bookmarkStart w:id="121" w:name="_Toc46409616"/>
      <w:bookmarkStart w:id="122" w:name="_Toc267580969"/>
      <w:r>
        <w:rPr>
          <w:rFonts w:hint="eastAsia" w:ascii="宋体" w:hAnsi="宋体" w:eastAsia="宋体" w:cs="宋体"/>
          <w:color w:val="auto"/>
          <w:sz w:val="21"/>
          <w:szCs w:val="21"/>
          <w:highlight w:val="none"/>
        </w:rPr>
        <w:t>合同文本采用《建设工程施工合同（示范文本）》（GF-2017-0201）。</w:t>
      </w:r>
    </w:p>
    <w:p w14:paraId="16FA1278">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合同通用条款采用《建设工程施工合同（示范文本）》的通用条款（GF-2017-0201）。</w:t>
      </w:r>
    </w:p>
    <w:p w14:paraId="5A256DA3">
      <w:pPr>
        <w:pStyle w:val="68"/>
        <w:adjustRightInd w:val="0"/>
        <w:snapToGrid w:val="0"/>
        <w:spacing w:before="0"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合同专用条款中的主要条款按照《建设工程施工合同（GF-2017-0201）专用条款台州示范文本》，并由招标人（发包人）与中标人（承包人）根据投标文件签订。</w:t>
      </w:r>
    </w:p>
    <w:p w14:paraId="450603C4">
      <w:pPr>
        <w:pStyle w:val="68"/>
        <w:adjustRightInd w:val="0"/>
        <w:snapToGrid w:val="0"/>
        <w:spacing w:before="0" w:line="360" w:lineRule="auto"/>
        <w:jc w:val="center"/>
        <w:rPr>
          <w:rFonts w:hint="eastAsia" w:ascii="宋体" w:hAnsi="宋体" w:eastAsia="宋体"/>
          <w:color w:val="auto"/>
          <w:sz w:val="32"/>
          <w:szCs w:val="32"/>
          <w:highlight w:val="none"/>
        </w:rPr>
      </w:pPr>
      <w:r>
        <w:rPr>
          <w:rFonts w:hint="eastAsia" w:ascii="宋体" w:hAnsi="宋体" w:eastAsia="宋体"/>
          <w:color w:val="auto"/>
          <w:sz w:val="21"/>
          <w:szCs w:val="21"/>
          <w:highlight w:val="none"/>
        </w:rPr>
        <w:br w:type="page"/>
      </w:r>
      <w:bookmarkEnd w:id="115"/>
      <w:bookmarkEnd w:id="116"/>
      <w:bookmarkEnd w:id="117"/>
      <w:bookmarkEnd w:id="118"/>
      <w:bookmarkEnd w:id="119"/>
      <w:bookmarkEnd w:id="120"/>
      <w:bookmarkEnd w:id="121"/>
      <w:bookmarkEnd w:id="122"/>
      <w:bookmarkStart w:id="123" w:name="_Toc394573945"/>
      <w:bookmarkStart w:id="124" w:name="_Toc11705"/>
      <w:bookmarkStart w:id="125" w:name="_Toc321903111"/>
      <w:r>
        <w:rPr>
          <w:rFonts w:hint="eastAsia" w:ascii="宋体" w:hAnsi="宋体" w:eastAsia="宋体"/>
          <w:b/>
          <w:bCs/>
          <w:color w:val="auto"/>
          <w:sz w:val="32"/>
          <w:szCs w:val="32"/>
          <w:highlight w:val="none"/>
        </w:rPr>
        <w:t>第一部分　合同协议书</w:t>
      </w:r>
      <w:bookmarkEnd w:id="123"/>
      <w:bookmarkEnd w:id="124"/>
    </w:p>
    <w:p w14:paraId="64F9396B">
      <w:pPr>
        <w:adjustRightInd w:val="0"/>
        <w:snapToGrid w:val="0"/>
        <w:spacing w:line="36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lang w:eastAsia="zh-CN"/>
        </w:rPr>
        <w:t>浙江台州高速公路集团股份有限公司</w:t>
      </w:r>
    </w:p>
    <w:p w14:paraId="006B4572">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5A4A5C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1"/>
          <w:szCs w:val="21"/>
          <w:highlight w:val="none"/>
          <w:u w:val="single"/>
          <w:lang w:eastAsia="zh-CN"/>
        </w:rPr>
        <w:t>天和大厦钢结构除锈工程</w:t>
      </w:r>
      <w:r>
        <w:rPr>
          <w:rFonts w:hint="eastAsia" w:ascii="宋体" w:hAnsi="宋体" w:eastAsia="宋体" w:cs="宋体"/>
          <w:color w:val="auto"/>
          <w:sz w:val="21"/>
          <w:szCs w:val="21"/>
          <w:highlight w:val="none"/>
        </w:rPr>
        <w:t>施工及有关事项协商一致，共同达成如下协议：</w:t>
      </w:r>
    </w:p>
    <w:p w14:paraId="784AD805">
      <w:pPr>
        <w:adjustRightInd w:val="0"/>
        <w:snapToGrid w:val="0"/>
        <w:spacing w:line="360" w:lineRule="exact"/>
        <w:ind w:firstLine="422" w:firstLineChars="200"/>
        <w:rPr>
          <w:rFonts w:hint="eastAsia" w:ascii="宋体" w:hAnsi="宋体" w:eastAsia="宋体" w:cs="宋体"/>
          <w:b/>
          <w:bCs/>
          <w:color w:val="auto"/>
          <w:sz w:val="21"/>
          <w:szCs w:val="21"/>
          <w:highlight w:val="none"/>
        </w:rPr>
      </w:pPr>
      <w:bookmarkStart w:id="126" w:name="_Toc351203481"/>
      <w:r>
        <w:rPr>
          <w:rFonts w:hint="eastAsia" w:ascii="宋体" w:hAnsi="宋体" w:eastAsia="宋体" w:cs="宋体"/>
          <w:b/>
          <w:bCs/>
          <w:color w:val="auto"/>
          <w:sz w:val="21"/>
          <w:szCs w:val="21"/>
          <w:highlight w:val="none"/>
        </w:rPr>
        <w:t>一、工程概况</w:t>
      </w:r>
      <w:bookmarkEnd w:id="126"/>
    </w:p>
    <w:p w14:paraId="2A6D0715">
      <w:pPr>
        <w:adjustRightInd w:val="0"/>
        <w:snapToGrid w:val="0"/>
        <w:spacing w:line="36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eastAsia="zh-CN"/>
        </w:rPr>
        <w:t>天和大厦钢结构除锈工程</w:t>
      </w:r>
    </w:p>
    <w:p w14:paraId="655A0126">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rPr>
        <w:t>台州市椒江区天和路95号</w:t>
      </w:r>
    </w:p>
    <w:p w14:paraId="5168502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3.建设规模：</w:t>
      </w:r>
      <w:r>
        <w:rPr>
          <w:rFonts w:hint="eastAsia" w:ascii="宋体" w:hAnsi="宋体" w:eastAsia="宋体" w:cs="宋体"/>
          <w:color w:val="auto"/>
          <w:sz w:val="21"/>
          <w:szCs w:val="21"/>
          <w:highlight w:val="none"/>
          <w:u w:val="single"/>
          <w:lang w:val="en-US" w:eastAsia="zh-CN"/>
        </w:rPr>
        <w:t>详见发包人提供的施工图</w:t>
      </w:r>
      <w:r>
        <w:rPr>
          <w:rFonts w:hint="eastAsia" w:ascii="宋体" w:hAnsi="宋体" w:eastAsia="宋体" w:cs="宋体"/>
          <w:color w:val="auto"/>
          <w:sz w:val="21"/>
          <w:szCs w:val="21"/>
          <w:highlight w:val="none"/>
          <w:u w:val="single"/>
        </w:rPr>
        <w:t>。</w:t>
      </w:r>
    </w:p>
    <w:p w14:paraId="363E52D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5.工程承包范围：</w:t>
      </w:r>
      <w:r>
        <w:rPr>
          <w:rFonts w:hint="eastAsia" w:ascii="宋体" w:hAnsi="宋体" w:eastAsia="宋体" w:cs="宋体"/>
          <w:bCs/>
          <w:color w:val="auto"/>
          <w:sz w:val="21"/>
          <w:szCs w:val="21"/>
          <w:highlight w:val="none"/>
          <w:u w:val="single"/>
        </w:rPr>
        <w:t>发包人提供的施工图纸及工程量清单所包含室外塔楼顶层钢结构构架梁、柱等结构构件除锈、刷漆、刷防火涂料工程等。具体内容见招标人提供的工程量清单</w:t>
      </w:r>
      <w:r>
        <w:rPr>
          <w:rFonts w:hint="eastAsia" w:ascii="宋体" w:hAnsi="宋体" w:eastAsia="宋体" w:cs="宋体"/>
          <w:bCs/>
          <w:snapToGrid w:val="0"/>
          <w:color w:val="auto"/>
          <w:sz w:val="21"/>
          <w:szCs w:val="21"/>
          <w:highlight w:val="none"/>
          <w:u w:val="single"/>
        </w:rPr>
        <w:t>。</w:t>
      </w:r>
    </w:p>
    <w:p w14:paraId="3CDACA4E">
      <w:pPr>
        <w:adjustRightInd w:val="0"/>
        <w:snapToGrid w:val="0"/>
        <w:spacing w:line="360" w:lineRule="exact"/>
        <w:ind w:firstLine="422" w:firstLineChars="200"/>
        <w:rPr>
          <w:rFonts w:hint="eastAsia" w:ascii="宋体" w:hAnsi="宋体" w:eastAsia="宋体" w:cs="宋体"/>
          <w:b/>
          <w:bCs/>
          <w:color w:val="auto"/>
          <w:sz w:val="21"/>
          <w:szCs w:val="21"/>
          <w:highlight w:val="none"/>
        </w:rPr>
      </w:pPr>
      <w:bookmarkStart w:id="127" w:name="_Toc351203482"/>
      <w:r>
        <w:rPr>
          <w:rFonts w:hint="eastAsia" w:ascii="宋体" w:hAnsi="宋体" w:eastAsia="宋体" w:cs="宋体"/>
          <w:b/>
          <w:bCs/>
          <w:color w:val="auto"/>
          <w:sz w:val="21"/>
          <w:szCs w:val="21"/>
          <w:highlight w:val="none"/>
        </w:rPr>
        <w:t>二、合同工期</w:t>
      </w:r>
      <w:bookmarkEnd w:id="127"/>
    </w:p>
    <w:p w14:paraId="6CD9AFB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以发包人开工报告为准。</w:t>
      </w:r>
    </w:p>
    <w:p w14:paraId="5F8E914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按合同工期顺推。</w:t>
      </w:r>
    </w:p>
    <w:p w14:paraId="78BDA2A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14:paraId="27827C96">
      <w:pPr>
        <w:adjustRightInd w:val="0"/>
        <w:snapToGrid w:val="0"/>
        <w:spacing w:line="36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三、质量标准</w:t>
      </w:r>
    </w:p>
    <w:p w14:paraId="5858647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 xml:space="preserve"> 合格 </w:t>
      </w:r>
      <w:r>
        <w:rPr>
          <w:rFonts w:hint="eastAsia" w:ascii="宋体" w:hAnsi="宋体" w:eastAsia="宋体" w:cs="宋体"/>
          <w:color w:val="auto"/>
          <w:sz w:val="21"/>
          <w:szCs w:val="21"/>
          <w:highlight w:val="none"/>
        </w:rPr>
        <w:t>标准。</w:t>
      </w:r>
    </w:p>
    <w:p w14:paraId="0545C7B4">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28" w:name="_Toc351203484"/>
      <w:r>
        <w:rPr>
          <w:rFonts w:hint="eastAsia" w:ascii="宋体" w:hAnsi="宋体" w:eastAsia="宋体" w:cs="宋体"/>
          <w:b/>
          <w:bCs/>
          <w:color w:val="auto"/>
          <w:sz w:val="21"/>
          <w:szCs w:val="21"/>
          <w:highlight w:val="none"/>
        </w:rPr>
        <w:t>四、签约合同价与合同价格形式</w:t>
      </w:r>
      <w:bookmarkEnd w:id="128"/>
      <w:r>
        <w:rPr>
          <w:rFonts w:hint="eastAsia" w:ascii="宋体" w:hAnsi="宋体" w:eastAsia="宋体" w:cs="宋体"/>
          <w:color w:val="auto"/>
          <w:sz w:val="21"/>
          <w:szCs w:val="21"/>
          <w:highlight w:val="none"/>
        </w:rPr>
        <w:tab/>
      </w:r>
    </w:p>
    <w:p w14:paraId="38167685">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29" w:name="_Toc351203485"/>
      <w:r>
        <w:rPr>
          <w:rFonts w:hint="eastAsia" w:ascii="宋体" w:hAnsi="宋体" w:eastAsia="宋体" w:cs="宋体"/>
          <w:color w:val="auto"/>
          <w:sz w:val="21"/>
          <w:szCs w:val="21"/>
          <w:highlight w:val="none"/>
        </w:rPr>
        <w:t>1.签约合同价为：</w:t>
      </w:r>
    </w:p>
    <w:p w14:paraId="2281BCF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w:t>
      </w:r>
    </w:p>
    <w:p w14:paraId="7C63C76D">
      <w:pPr>
        <w:adjustRightInd w:val="0"/>
        <w:snapToGrid w:val="0"/>
        <w:spacing w:line="360" w:lineRule="exact"/>
        <w:ind w:firstLine="1575" w:firstLineChars="7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C49FA3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其他约定：工程签约合同价＝结算率×</w:t>
      </w:r>
      <w:r>
        <w:rPr>
          <w:rFonts w:hint="eastAsia" w:ascii="宋体" w:hAnsi="宋体" w:eastAsia="宋体" w:cs="宋体"/>
          <w:color w:val="auto"/>
          <w:sz w:val="21"/>
          <w:szCs w:val="21"/>
          <w:highlight w:val="none"/>
          <w:lang w:eastAsia="zh-CN"/>
        </w:rPr>
        <w:t>项目预算</w:t>
      </w:r>
      <w:r>
        <w:rPr>
          <w:rFonts w:hint="eastAsia" w:ascii="宋体" w:hAnsi="宋体" w:eastAsia="宋体" w:cs="宋体"/>
          <w:color w:val="auto"/>
          <w:sz w:val="21"/>
          <w:szCs w:val="21"/>
          <w:highlight w:val="none"/>
        </w:rPr>
        <w:t>，其中本工程结算率为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Start w:id="728" w:name="_GoBack"/>
      <w:bookmarkEnd w:id="728"/>
    </w:p>
    <w:p w14:paraId="694CA40E">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单价合同</w:t>
      </w:r>
    </w:p>
    <w:p w14:paraId="14B53B5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3．发包人向承包人支付工程价款及其他应当支付的款项均须汇入承包人合同协议书中的银行账户。</w:t>
      </w:r>
    </w:p>
    <w:p w14:paraId="6F9B23D2">
      <w:pPr>
        <w:adjustRightInd w:val="0"/>
        <w:snapToGrid w:val="0"/>
        <w:spacing w:line="360" w:lineRule="exact"/>
        <w:ind w:firstLine="352" w:firstLineChars="16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承包人完成本合同项下应税行为的计税方式按以下第</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种方法，并与工程计价时采用的计税方法一致</w:t>
      </w:r>
      <w:r>
        <w:rPr>
          <w:rFonts w:hint="eastAsia" w:ascii="宋体" w:hAnsi="宋体" w:eastAsia="宋体" w:cs="宋体"/>
          <w:color w:val="auto"/>
          <w:sz w:val="21"/>
          <w:szCs w:val="21"/>
          <w:highlight w:val="none"/>
          <w:lang w:eastAsia="zh-CN"/>
        </w:rPr>
        <w:t>：</w:t>
      </w:r>
    </w:p>
    <w:p w14:paraId="7AAEC542">
      <w:pPr>
        <w:adjustRightInd w:val="0"/>
        <w:snapToGrid w:val="0"/>
        <w:spacing w:line="360" w:lineRule="exact"/>
        <w:ind w:firstLine="352" w:firstLineChars="1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（1）一般计税方法。</w:t>
      </w:r>
    </w:p>
    <w:p w14:paraId="3B2ABAFA">
      <w:pPr>
        <w:adjustRightInd w:val="0"/>
        <w:snapToGrid w:val="0"/>
        <w:spacing w:line="360" w:lineRule="exact"/>
        <w:ind w:firstLine="352" w:firstLineChars="168"/>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（2）本工程为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shd w:val="clear" w:color="auto" w:fill="FFFFFF"/>
        </w:rPr>
        <w:t>按简易计税方法。</w:t>
      </w:r>
    </w:p>
    <w:p w14:paraId="437045FA">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五、</w:t>
      </w:r>
      <w:bookmarkEnd w:id="129"/>
      <w:r>
        <w:rPr>
          <w:rFonts w:hint="eastAsia" w:ascii="宋体" w:hAnsi="宋体" w:eastAsia="宋体" w:cs="宋体"/>
          <w:b/>
          <w:bCs/>
          <w:color w:val="auto"/>
          <w:sz w:val="21"/>
          <w:szCs w:val="21"/>
          <w:highlight w:val="none"/>
        </w:rPr>
        <w:t>项目经理</w:t>
      </w:r>
    </w:p>
    <w:p w14:paraId="317A49A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48092F">
      <w:pPr>
        <w:adjustRightInd w:val="0"/>
        <w:snapToGrid w:val="0"/>
        <w:spacing w:line="360" w:lineRule="exact"/>
        <w:ind w:firstLine="422" w:firstLineChars="200"/>
        <w:rPr>
          <w:rFonts w:hint="eastAsia" w:ascii="宋体" w:hAnsi="宋体" w:eastAsia="宋体" w:cs="宋体"/>
          <w:b/>
          <w:bCs/>
          <w:color w:val="auto"/>
          <w:sz w:val="21"/>
          <w:szCs w:val="21"/>
          <w:highlight w:val="none"/>
        </w:rPr>
      </w:pPr>
      <w:bookmarkStart w:id="130" w:name="_Toc351203486"/>
      <w:r>
        <w:rPr>
          <w:rFonts w:hint="eastAsia" w:ascii="宋体" w:hAnsi="宋体" w:eastAsia="宋体" w:cs="宋体"/>
          <w:b/>
          <w:bCs/>
          <w:color w:val="auto"/>
          <w:sz w:val="21"/>
          <w:szCs w:val="21"/>
          <w:highlight w:val="none"/>
        </w:rPr>
        <w:t>六、合同文件构成</w:t>
      </w:r>
      <w:bookmarkEnd w:id="130"/>
    </w:p>
    <w:p w14:paraId="43A4B4D6">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34124BA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w:t>
      </w:r>
    </w:p>
    <w:p w14:paraId="1790218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（2）投标函及其附录（如果有）； </w:t>
      </w:r>
    </w:p>
    <w:p w14:paraId="70FF767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14:paraId="2D92FF2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14:paraId="4B29D49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（5）技术标准和要求；</w:t>
      </w:r>
    </w:p>
    <w:p w14:paraId="151C929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14:paraId="588308E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（7）已标价工程量清单或预算书；</w:t>
      </w:r>
    </w:p>
    <w:p w14:paraId="72E6EDE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（8）其他合同文件。</w:t>
      </w:r>
    </w:p>
    <w:p w14:paraId="750D48C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695B63E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29E1DDFF">
      <w:pPr>
        <w:adjustRightInd w:val="0"/>
        <w:snapToGrid w:val="0"/>
        <w:spacing w:line="360" w:lineRule="exact"/>
        <w:ind w:firstLine="422" w:firstLineChars="200"/>
        <w:rPr>
          <w:rFonts w:hint="eastAsia" w:ascii="宋体" w:hAnsi="宋体" w:eastAsia="宋体" w:cs="宋体"/>
          <w:b/>
          <w:color w:val="auto"/>
          <w:sz w:val="21"/>
          <w:szCs w:val="21"/>
          <w:highlight w:val="none"/>
        </w:rPr>
      </w:pPr>
      <w:bookmarkStart w:id="131" w:name="_Toc351203487"/>
      <w:r>
        <w:rPr>
          <w:rFonts w:hint="eastAsia" w:ascii="宋体" w:hAnsi="宋体" w:eastAsia="宋体" w:cs="宋体"/>
          <w:b/>
          <w:color w:val="auto"/>
          <w:sz w:val="21"/>
          <w:szCs w:val="21"/>
          <w:highlight w:val="none"/>
        </w:rPr>
        <w:t>七、创优目标</w:t>
      </w:r>
    </w:p>
    <w:p w14:paraId="5B6A044C">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工程质量创</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15A2AD1">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安全文明施工创</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A5D0380">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八、承诺</w:t>
      </w:r>
      <w:bookmarkEnd w:id="131"/>
    </w:p>
    <w:p w14:paraId="545DC02A">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32" w:name="_Toc351203488"/>
      <w:r>
        <w:rPr>
          <w:rFonts w:hint="eastAsia" w:ascii="宋体" w:hAnsi="宋体" w:eastAsia="宋体" w:cs="宋体"/>
          <w:color w:val="auto"/>
          <w:sz w:val="21"/>
          <w:szCs w:val="21"/>
          <w:highlight w:val="none"/>
        </w:rPr>
        <w:t>1．发包人承诺按照法律规定履行项目审批手续、筹集工程建设资金并按照合同约定的期限和方式支付合同价款。</w:t>
      </w:r>
    </w:p>
    <w:p w14:paraId="69CD4C97">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39FCDD8B">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承包人承诺不拖欠工人工资，因拖欠工资造成的一切后果，均由承包人承担，发包人有权将应拔付的工程款，先代付工资。</w:t>
      </w:r>
    </w:p>
    <w:p w14:paraId="6B84AFD4">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4．发包人和承包人通过招投标形式签订合同的，双方理解并承诺不再就同一工程另行签订与合同实质性内容相背离的协议。另行签订的协议不能作为结算依据。</w:t>
      </w:r>
    </w:p>
    <w:p w14:paraId="66AC1A44">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九、词语含义</w:t>
      </w:r>
      <w:bookmarkEnd w:id="132"/>
    </w:p>
    <w:p w14:paraId="219C07C5">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0647572">
      <w:pPr>
        <w:adjustRightInd w:val="0"/>
        <w:snapToGrid w:val="0"/>
        <w:spacing w:line="360" w:lineRule="exact"/>
        <w:ind w:firstLine="422" w:firstLineChars="200"/>
        <w:rPr>
          <w:rFonts w:hint="eastAsia" w:ascii="宋体" w:hAnsi="宋体" w:eastAsia="宋体" w:cs="宋体"/>
          <w:b/>
          <w:color w:val="auto"/>
          <w:sz w:val="21"/>
          <w:szCs w:val="21"/>
          <w:highlight w:val="none"/>
        </w:rPr>
      </w:pPr>
      <w:bookmarkStart w:id="133" w:name="_Toc351203489"/>
      <w:r>
        <w:rPr>
          <w:rFonts w:hint="eastAsia" w:ascii="宋体" w:hAnsi="宋体" w:eastAsia="宋体" w:cs="宋体"/>
          <w:b/>
          <w:color w:val="auto"/>
          <w:sz w:val="21"/>
          <w:szCs w:val="21"/>
          <w:highlight w:val="none"/>
        </w:rPr>
        <w:t>十、签订时间</w:t>
      </w:r>
      <w:bookmarkEnd w:id="133"/>
    </w:p>
    <w:p w14:paraId="6BF2DDA3">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202</w:t>
      </w:r>
      <w:r>
        <w:rPr>
          <w:rFonts w:hint="eastAsia" w:ascii="宋体" w:hAnsi="宋体" w:eastAsia="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71798493">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34" w:name="_Toc351203490"/>
      <w:r>
        <w:rPr>
          <w:rFonts w:hint="eastAsia" w:ascii="宋体" w:hAnsi="宋体" w:eastAsia="宋体" w:cs="宋体"/>
          <w:b/>
          <w:color w:val="auto"/>
          <w:sz w:val="21"/>
          <w:szCs w:val="21"/>
          <w:highlight w:val="none"/>
        </w:rPr>
        <w:t>十一、签订地点</w:t>
      </w:r>
      <w:bookmarkEnd w:id="134"/>
    </w:p>
    <w:p w14:paraId="44AAF23D">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台州市</w:t>
      </w:r>
      <w:r>
        <w:rPr>
          <w:rFonts w:hint="eastAsia" w:ascii="宋体" w:hAnsi="宋体" w:eastAsia="宋体" w:cs="宋体"/>
          <w:color w:val="auto"/>
          <w:sz w:val="21"/>
          <w:szCs w:val="21"/>
          <w:highlight w:val="none"/>
          <w:u w:val="single"/>
          <w:lang w:val="en-US" w:eastAsia="zh-CN"/>
        </w:rPr>
        <w:t>椒江</w:t>
      </w:r>
      <w:r>
        <w:rPr>
          <w:rFonts w:hint="eastAsia" w:ascii="宋体" w:hAnsi="宋体" w:eastAsia="宋体" w:cs="宋体"/>
          <w:color w:val="auto"/>
          <w:sz w:val="21"/>
          <w:szCs w:val="21"/>
          <w:highlight w:val="none"/>
          <w:u w:val="single"/>
        </w:rPr>
        <w:t>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14:paraId="1940559E">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35" w:name="_Toc351203491"/>
      <w:r>
        <w:rPr>
          <w:rFonts w:hint="eastAsia" w:ascii="宋体" w:hAnsi="宋体" w:eastAsia="宋体" w:cs="宋体"/>
          <w:b/>
          <w:color w:val="auto"/>
          <w:sz w:val="21"/>
          <w:szCs w:val="21"/>
          <w:highlight w:val="none"/>
        </w:rPr>
        <w:t>十二、补充协议</w:t>
      </w:r>
      <w:bookmarkEnd w:id="135"/>
    </w:p>
    <w:p w14:paraId="576CBFEB">
      <w:pPr>
        <w:adjustRightInd w:val="0"/>
        <w:snapToGrid w:val="0"/>
        <w:spacing w:line="36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10B7A5B8">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36" w:name="_Toc351203492"/>
      <w:r>
        <w:rPr>
          <w:rFonts w:hint="eastAsia" w:ascii="宋体" w:hAnsi="宋体" w:eastAsia="宋体" w:cs="宋体"/>
          <w:b/>
          <w:color w:val="auto"/>
          <w:sz w:val="21"/>
          <w:szCs w:val="21"/>
          <w:highlight w:val="none"/>
        </w:rPr>
        <w:t>十三、合同生效</w:t>
      </w:r>
      <w:bookmarkEnd w:id="136"/>
    </w:p>
    <w:p w14:paraId="000F5EE2">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双方约定本合同经双方</w:t>
      </w:r>
      <w:r>
        <w:rPr>
          <w:rFonts w:hint="eastAsia" w:ascii="宋体" w:hAnsi="宋体" w:eastAsia="宋体" w:cs="宋体"/>
          <w:b/>
          <w:color w:val="auto"/>
          <w:sz w:val="21"/>
          <w:szCs w:val="21"/>
          <w:highlight w:val="none"/>
          <w:u w:val="single"/>
        </w:rPr>
        <w:t>法定代表人或委托代理人（需开具法人委托书）签字并加盖本单位公章</w:t>
      </w:r>
      <w:r>
        <w:rPr>
          <w:rFonts w:hint="eastAsia" w:ascii="宋体" w:hAnsi="宋体" w:eastAsia="宋体" w:cs="宋体"/>
          <w:color w:val="auto"/>
          <w:sz w:val="21"/>
          <w:szCs w:val="21"/>
          <w:highlight w:val="none"/>
        </w:rPr>
        <w:t>后生效</w:t>
      </w:r>
      <w:r>
        <w:rPr>
          <w:rFonts w:hint="eastAsia" w:ascii="宋体" w:hAnsi="宋体" w:eastAsia="宋体" w:cs="宋体"/>
          <w:b/>
          <w:color w:val="auto"/>
          <w:sz w:val="21"/>
          <w:szCs w:val="21"/>
          <w:highlight w:val="none"/>
        </w:rPr>
        <w:t>。</w:t>
      </w:r>
    </w:p>
    <w:p w14:paraId="409B37E4">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37" w:name="_Toc351203493"/>
      <w:r>
        <w:rPr>
          <w:rFonts w:hint="eastAsia" w:ascii="宋体" w:hAnsi="宋体" w:eastAsia="宋体" w:cs="宋体"/>
          <w:b/>
          <w:color w:val="auto"/>
          <w:sz w:val="21"/>
          <w:szCs w:val="21"/>
          <w:highlight w:val="none"/>
        </w:rPr>
        <w:t>十四、合同份数</w:t>
      </w:r>
      <w:bookmarkEnd w:id="137"/>
    </w:p>
    <w:p w14:paraId="2D52B4B6">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lang w:val="en-US" w:eastAsia="zh-CN"/>
        </w:rPr>
        <w:t>6</w:t>
      </w:r>
      <w:r>
        <w:rPr>
          <w:rFonts w:hint="eastAsia" w:ascii="宋体" w:hAnsi="宋体" w:eastAsia="宋体" w:cs="宋体"/>
          <w:bCs/>
          <w:color w:val="auto"/>
          <w:sz w:val="21"/>
          <w:szCs w:val="21"/>
          <w:highlight w:val="none"/>
        </w:rPr>
        <w:t>份，均具有同等法律效力，正本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rPr>
        <w:t>份，其中正本发包人</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份，承包人</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w:t>
      </w:r>
    </w:p>
    <w:tbl>
      <w:tblPr>
        <w:tblStyle w:val="45"/>
        <w:tblpPr w:leftFromText="180" w:rightFromText="180" w:vertAnchor="text" w:horzAnchor="margin" w:tblpXSpec="center" w:tblpY="16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778"/>
        <w:gridCol w:w="4562"/>
      </w:tblGrid>
      <w:tr w14:paraId="0A8D4E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8" w:hRule="atLeast"/>
        </w:trPr>
        <w:tc>
          <w:tcPr>
            <w:tcW w:w="4778" w:type="dxa"/>
            <w:tcBorders>
              <w:top w:val="single" w:color="auto" w:sz="2" w:space="0"/>
              <w:left w:val="single" w:color="auto" w:sz="2" w:space="0"/>
              <w:bottom w:val="single" w:color="auto" w:sz="2" w:space="0"/>
              <w:right w:val="single" w:color="auto" w:sz="4" w:space="0"/>
            </w:tcBorders>
            <w:noWrap w:val="0"/>
            <w:vAlign w:val="top"/>
          </w:tcPr>
          <w:p w14:paraId="488B6CB0">
            <w:pPr>
              <w:spacing w:line="360" w:lineRule="auto"/>
              <w:ind w:firstLine="420" w:firstLineChars="200"/>
              <w:rPr>
                <w:rFonts w:hint="eastAsia" w:ascii="宋体" w:hAnsi="宋体" w:eastAsia="宋体" w:cs="宋体"/>
                <w:color w:val="auto"/>
                <w:sz w:val="21"/>
                <w:szCs w:val="21"/>
                <w:highlight w:val="none"/>
              </w:rPr>
            </w:pPr>
          </w:p>
          <w:p w14:paraId="4912607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 （公章）</w:t>
            </w:r>
          </w:p>
          <w:p w14:paraId="4B678681">
            <w:pPr>
              <w:spacing w:line="360" w:lineRule="auto"/>
              <w:ind w:firstLine="420" w:firstLineChars="200"/>
              <w:rPr>
                <w:rFonts w:hint="eastAsia" w:ascii="宋体" w:hAnsi="宋体" w:eastAsia="宋体" w:cs="宋体"/>
                <w:color w:val="auto"/>
                <w:sz w:val="21"/>
                <w:szCs w:val="21"/>
                <w:highlight w:val="none"/>
              </w:rPr>
            </w:pPr>
          </w:p>
          <w:p w14:paraId="0C44C4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19912DC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（签字或盖章） </w:t>
            </w:r>
          </w:p>
          <w:p w14:paraId="1903A2B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A9039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bCs/>
                <w:color w:val="auto"/>
                <w:sz w:val="21"/>
                <w:szCs w:val="21"/>
                <w:highlight w:val="none"/>
                <w:u w:val="single"/>
              </w:rPr>
              <w:t xml:space="preserve">                     </w:t>
            </w:r>
          </w:p>
          <w:p w14:paraId="5B1F405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D51E45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bCs/>
                <w:color w:val="auto"/>
                <w:sz w:val="21"/>
                <w:szCs w:val="21"/>
                <w:highlight w:val="none"/>
                <w:u w:val="single"/>
              </w:rPr>
              <w:t xml:space="preserve">                 </w:t>
            </w:r>
          </w:p>
          <w:p w14:paraId="1AAAAD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69BF1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bCs/>
                <w:color w:val="auto"/>
                <w:sz w:val="21"/>
                <w:szCs w:val="21"/>
                <w:highlight w:val="none"/>
                <w:u w:val="single"/>
              </w:rPr>
              <w:t xml:space="preserve">                    </w:t>
            </w:r>
          </w:p>
          <w:p w14:paraId="7BF4340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bCs/>
                <w:color w:val="auto"/>
                <w:sz w:val="21"/>
                <w:szCs w:val="21"/>
                <w:highlight w:val="none"/>
                <w:u w:val="single"/>
              </w:rPr>
              <w:t xml:space="preserve">                    </w:t>
            </w:r>
          </w:p>
          <w:p w14:paraId="0106E9FB">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14:paraId="76B3155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bCs/>
                <w:color w:val="auto"/>
                <w:sz w:val="21"/>
                <w:szCs w:val="21"/>
                <w:highlight w:val="none"/>
                <w:u w:val="single"/>
              </w:rPr>
              <w:t xml:space="preserve">                   </w:t>
            </w:r>
          </w:p>
          <w:p w14:paraId="2C96DE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bCs/>
                <w:color w:val="auto"/>
                <w:sz w:val="21"/>
                <w:szCs w:val="21"/>
                <w:highlight w:val="none"/>
                <w:u w:val="single"/>
              </w:rPr>
              <w:t xml:space="preserve">                     </w:t>
            </w:r>
          </w:p>
        </w:tc>
        <w:tc>
          <w:tcPr>
            <w:tcW w:w="4562" w:type="dxa"/>
            <w:tcBorders>
              <w:top w:val="single" w:color="auto" w:sz="2" w:space="0"/>
              <w:left w:val="single" w:color="auto" w:sz="4" w:space="0"/>
              <w:bottom w:val="single" w:color="auto" w:sz="2" w:space="0"/>
              <w:right w:val="single" w:color="auto" w:sz="2" w:space="0"/>
            </w:tcBorders>
            <w:noWrap w:val="0"/>
            <w:vAlign w:val="top"/>
          </w:tcPr>
          <w:p w14:paraId="6685464F">
            <w:pPr>
              <w:spacing w:line="360" w:lineRule="auto"/>
              <w:ind w:firstLine="420" w:firstLineChars="200"/>
              <w:rPr>
                <w:rFonts w:hint="eastAsia" w:ascii="宋体" w:hAnsi="宋体" w:eastAsia="宋体" w:cs="宋体"/>
                <w:color w:val="auto"/>
                <w:sz w:val="21"/>
                <w:szCs w:val="21"/>
                <w:highlight w:val="none"/>
              </w:rPr>
            </w:pPr>
          </w:p>
          <w:p w14:paraId="43F360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 （公章）</w:t>
            </w:r>
          </w:p>
          <w:p w14:paraId="2B7DEA42">
            <w:pPr>
              <w:spacing w:line="360" w:lineRule="auto"/>
              <w:ind w:firstLine="420" w:firstLineChars="200"/>
              <w:rPr>
                <w:rFonts w:hint="eastAsia" w:ascii="宋体" w:hAnsi="宋体" w:eastAsia="宋体" w:cs="宋体"/>
                <w:color w:val="auto"/>
                <w:sz w:val="21"/>
                <w:szCs w:val="21"/>
                <w:highlight w:val="none"/>
              </w:rPr>
            </w:pPr>
          </w:p>
          <w:p w14:paraId="77C4C55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25FDE57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（签字或盖章） </w:t>
            </w:r>
          </w:p>
          <w:p w14:paraId="70364A2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0BC2A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bCs/>
                <w:color w:val="auto"/>
                <w:sz w:val="21"/>
                <w:szCs w:val="21"/>
                <w:highlight w:val="none"/>
                <w:u w:val="single"/>
              </w:rPr>
              <w:t xml:space="preserve">                     </w:t>
            </w:r>
          </w:p>
          <w:p w14:paraId="4F55405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AF26A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bCs/>
                <w:color w:val="auto"/>
                <w:sz w:val="21"/>
                <w:szCs w:val="21"/>
                <w:highlight w:val="none"/>
                <w:u w:val="single"/>
              </w:rPr>
              <w:t xml:space="preserve">                 </w:t>
            </w:r>
          </w:p>
          <w:p w14:paraId="7D7639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2B014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bCs/>
                <w:color w:val="auto"/>
                <w:sz w:val="21"/>
                <w:szCs w:val="21"/>
                <w:highlight w:val="none"/>
                <w:u w:val="single"/>
              </w:rPr>
              <w:t xml:space="preserve">                   </w:t>
            </w:r>
          </w:p>
          <w:p w14:paraId="0A154D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bCs/>
                <w:color w:val="auto"/>
                <w:sz w:val="21"/>
                <w:szCs w:val="21"/>
                <w:highlight w:val="none"/>
                <w:u w:val="single"/>
              </w:rPr>
              <w:t xml:space="preserve">                    </w:t>
            </w:r>
          </w:p>
          <w:p w14:paraId="2D1A449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14:paraId="48196E3C">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bCs/>
                <w:color w:val="auto"/>
                <w:sz w:val="21"/>
                <w:szCs w:val="21"/>
                <w:highlight w:val="none"/>
                <w:u w:val="single"/>
              </w:rPr>
              <w:t xml:space="preserve">                   </w:t>
            </w:r>
          </w:p>
          <w:p w14:paraId="3E57EAB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bCs/>
                <w:color w:val="auto"/>
                <w:sz w:val="21"/>
                <w:szCs w:val="21"/>
                <w:highlight w:val="none"/>
                <w:u w:val="single"/>
              </w:rPr>
              <w:t xml:space="preserve">                   </w:t>
            </w:r>
          </w:p>
        </w:tc>
      </w:tr>
    </w:tbl>
    <w:p w14:paraId="7F253E62">
      <w:pPr>
        <w:pStyle w:val="68"/>
        <w:jc w:val="center"/>
        <w:rPr>
          <w:rFonts w:hint="eastAsia" w:ascii="宋体" w:hAnsi="宋体" w:eastAsia="宋体"/>
          <w:b/>
          <w:bCs/>
          <w:color w:val="auto"/>
          <w:sz w:val="32"/>
          <w:szCs w:val="32"/>
          <w:highlight w:val="none"/>
        </w:rPr>
      </w:pPr>
      <w:r>
        <w:rPr>
          <w:rFonts w:hint="eastAsia" w:ascii="宋体" w:hAnsi="宋体" w:eastAsia="宋体"/>
          <w:color w:val="auto"/>
          <w:sz w:val="21"/>
          <w:szCs w:val="21"/>
          <w:highlight w:val="none"/>
        </w:rPr>
        <w:br w:type="page"/>
      </w:r>
      <w:bookmarkStart w:id="138" w:name="_Toc228163246"/>
      <w:bookmarkStart w:id="139" w:name="_Toc19078"/>
      <w:bookmarkStart w:id="140" w:name="_Toc394573946"/>
      <w:r>
        <w:rPr>
          <w:rFonts w:hint="eastAsia" w:ascii="宋体" w:hAnsi="宋体" w:eastAsia="宋体"/>
          <w:b/>
          <w:bCs/>
          <w:color w:val="auto"/>
          <w:sz w:val="32"/>
          <w:szCs w:val="32"/>
          <w:highlight w:val="none"/>
        </w:rPr>
        <w:t>第二部分   通用合同条款</w:t>
      </w:r>
      <w:bookmarkEnd w:id="138"/>
      <w:r>
        <w:rPr>
          <w:rFonts w:hint="eastAsia" w:ascii="宋体" w:hAnsi="宋体" w:eastAsia="宋体"/>
          <w:b/>
          <w:bCs/>
          <w:color w:val="auto"/>
          <w:sz w:val="32"/>
          <w:szCs w:val="32"/>
          <w:highlight w:val="none"/>
        </w:rPr>
        <w:t>（略）</w:t>
      </w:r>
      <w:bookmarkEnd w:id="139"/>
      <w:bookmarkEnd w:id="140"/>
    </w:p>
    <w:p w14:paraId="22E086C8">
      <w:pPr>
        <w:pStyle w:val="68"/>
        <w:jc w:val="center"/>
        <w:rPr>
          <w:rFonts w:hint="eastAsia" w:ascii="宋体" w:hAnsi="宋体" w:eastAsia="宋体"/>
          <w:b/>
          <w:bCs/>
          <w:color w:val="auto"/>
          <w:sz w:val="21"/>
          <w:szCs w:val="21"/>
          <w:highlight w:val="none"/>
        </w:rPr>
      </w:pPr>
      <w:bookmarkStart w:id="141" w:name="_Toc278377207"/>
      <w:bookmarkStart w:id="142" w:name="_Toc267919286"/>
      <w:bookmarkStart w:id="143" w:name="_Toc394573947"/>
      <w:bookmarkStart w:id="144" w:name="_Toc17092"/>
      <w:r>
        <w:rPr>
          <w:rFonts w:hint="eastAsia" w:ascii="宋体" w:hAnsi="宋体" w:eastAsia="宋体"/>
          <w:b/>
          <w:bCs/>
          <w:color w:val="auto"/>
          <w:sz w:val="32"/>
          <w:szCs w:val="32"/>
          <w:highlight w:val="none"/>
        </w:rPr>
        <w:t>第三部分　　专用合同条款</w:t>
      </w:r>
      <w:bookmarkEnd w:id="141"/>
      <w:bookmarkEnd w:id="142"/>
      <w:bookmarkEnd w:id="143"/>
      <w:bookmarkEnd w:id="144"/>
    </w:p>
    <w:p w14:paraId="77BDEEF5">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145" w:name="_Toc351203633"/>
      <w:bookmarkStart w:id="146" w:name="_Toc228163249"/>
      <w:r>
        <w:rPr>
          <w:rFonts w:hint="eastAsia" w:ascii="宋体" w:hAnsi="宋体" w:eastAsia="宋体" w:cs="宋体"/>
          <w:color w:val="auto"/>
          <w:sz w:val="21"/>
          <w:szCs w:val="21"/>
          <w:highlight w:val="none"/>
        </w:rPr>
        <w:t>1</w:t>
      </w:r>
      <w:bookmarkStart w:id="147" w:name="_Toc292559866"/>
      <w:bookmarkStart w:id="148" w:name="_Toc297120456"/>
      <w:bookmarkStart w:id="149" w:name="_Toc296944495"/>
      <w:bookmarkStart w:id="150" w:name="_Toc296347155"/>
      <w:bookmarkStart w:id="151" w:name="_Toc296890984"/>
      <w:bookmarkStart w:id="152" w:name="_Toc297048342"/>
      <w:bookmarkStart w:id="153" w:name="_Toc296346657"/>
      <w:bookmarkStart w:id="154" w:name="_Toc296891196"/>
      <w:bookmarkStart w:id="155" w:name="_Toc296503156"/>
      <w:bookmarkStart w:id="156" w:name="_Toc292559361"/>
      <w:r>
        <w:rPr>
          <w:rFonts w:hint="eastAsia" w:ascii="宋体" w:hAnsi="宋体" w:eastAsia="宋体" w:cs="宋体"/>
          <w:color w:val="auto"/>
          <w:sz w:val="21"/>
          <w:szCs w:val="21"/>
          <w:highlight w:val="none"/>
        </w:rPr>
        <w:t>. 一般约定</w:t>
      </w:r>
      <w:bookmarkEnd w:id="145"/>
    </w:p>
    <w:bookmarkEnd w:id="147"/>
    <w:bookmarkEnd w:id="148"/>
    <w:bookmarkEnd w:id="149"/>
    <w:bookmarkEnd w:id="150"/>
    <w:bookmarkEnd w:id="151"/>
    <w:bookmarkEnd w:id="152"/>
    <w:bookmarkEnd w:id="153"/>
    <w:bookmarkEnd w:id="154"/>
    <w:bookmarkEnd w:id="155"/>
    <w:bookmarkEnd w:id="156"/>
    <w:p w14:paraId="6B82FD8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词语定义</w:t>
      </w:r>
    </w:p>
    <w:p w14:paraId="4B19CB26">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1.1.1合同</w:t>
      </w:r>
    </w:p>
    <w:p w14:paraId="399C4EFA">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1.1.1.10其他合同文件包括：</w:t>
      </w:r>
      <w:r>
        <w:rPr>
          <w:rFonts w:hint="eastAsia" w:ascii="宋体" w:hAnsi="宋体" w:eastAsia="宋体" w:cs="宋体"/>
          <w:color w:val="auto"/>
          <w:kern w:val="0"/>
          <w:sz w:val="21"/>
          <w:szCs w:val="21"/>
          <w:highlight w:val="none"/>
          <w:u w:val="single"/>
        </w:rPr>
        <w:t>工程招标文件、《椒江区政府投资项目工程变更签证管理指导性意见》、除投标函及其附录和已标价工程量清单或预算书外的其它投标文件、补充协议、补充条款、施工总承包工作质量管理及考核办法、有关工程洽商、变更、合同履行过程中经双方确认的会议纪要、经批准的施工组织设计、专项施工方案等。</w:t>
      </w:r>
    </w:p>
    <w:p w14:paraId="01E51F7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14C62787">
      <w:pPr>
        <w:adjustRightInd w:val="0"/>
        <w:snapToGrid w:val="0"/>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1.1.2.4监理人：</w:t>
      </w:r>
      <w:r>
        <w:rPr>
          <w:rFonts w:hint="eastAsia" w:ascii="宋体" w:hAnsi="宋体" w:eastAsia="宋体" w:cs="宋体"/>
          <w:color w:val="auto"/>
          <w:sz w:val="21"/>
          <w:szCs w:val="21"/>
          <w:highlight w:val="none"/>
          <w:u w:val="single"/>
        </w:rPr>
        <w:t>以发包人和监理人签订的监理合同约定为准</w:t>
      </w:r>
      <w:r>
        <w:rPr>
          <w:rFonts w:hint="eastAsia" w:ascii="宋体" w:hAnsi="宋体" w:eastAsia="宋体" w:cs="宋体"/>
          <w:color w:val="auto"/>
          <w:sz w:val="21"/>
          <w:szCs w:val="21"/>
          <w:highlight w:val="none"/>
          <w:u w:val="single"/>
          <w:lang w:eastAsia="zh-CN"/>
        </w:rPr>
        <w:t>。</w:t>
      </w:r>
    </w:p>
    <w:p w14:paraId="66CA9F2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r>
        <w:rPr>
          <w:rFonts w:hint="eastAsia" w:ascii="宋体" w:hAnsi="宋体" w:eastAsia="宋体" w:cs="宋体"/>
          <w:color w:val="auto"/>
          <w:sz w:val="21"/>
          <w:szCs w:val="21"/>
          <w:highlight w:val="none"/>
          <w:u w:val="single"/>
        </w:rPr>
        <w:t>以发包人和设计人签订的设计合同约定为准。</w:t>
      </w:r>
    </w:p>
    <w:p w14:paraId="136C685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3B116269">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建设项目规划红线范围。</w:t>
      </w:r>
    </w:p>
    <w:p w14:paraId="0D6592F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工程规划红线范围内的土地。</w:t>
      </w:r>
    </w:p>
    <w:p w14:paraId="32AA1F6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发包人不提供项目红线外临时用地。</w:t>
      </w:r>
    </w:p>
    <w:p w14:paraId="5A0FC6F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1.3法律 </w:t>
      </w:r>
    </w:p>
    <w:p w14:paraId="71BA00B3">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《建设工程工程量清单计价规范》（GB50500-2013）、《房屋建筑与装饰工程工程量计算规范》（GB50854-2013）、《通用安装工程工程量计算规范》（GB 50856-2013）、浙江省补充规定（浙建站计(2013)63号及浙建站计(2014)31号）</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浙江省建设工程计价规则》（2018版）、《浙江省房屋建筑与装饰工程预算定额》（2018版）、《浙江省通用安装工程预算定额》（2018版）《浙江省建设工程施工机械台班费用定额》（2018版）、《浙江省建筑安装材料基期价格》（2018版）</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关于增值税调整后我省建设工程计价依据增值税税率及有关计价调整的通知（浙建建〔2019〕92号）、关于调整建筑工程安全文明施工的通知(浙建建发〔2022〕37号）增加疫情常态化和“智慧工地”费用等浙江省及台州市有关建设工程造价的相关定额解释及文件规定及省市有关补充规定和解释等工程所在地现行的有关工程造价方面规定。</w:t>
      </w:r>
    </w:p>
    <w:p w14:paraId="0A08CBD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标准和规范</w:t>
      </w:r>
    </w:p>
    <w:p w14:paraId="32FBC04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按现行的国家、省、市施工验收规范、质量评定标准及有关规定。合同工期内的标准、规范，招标文件中的技术要求等</w:t>
      </w:r>
      <w:r>
        <w:rPr>
          <w:rFonts w:hint="eastAsia" w:ascii="宋体" w:hAnsi="宋体" w:eastAsia="宋体" w:cs="宋体"/>
          <w:color w:val="auto"/>
          <w:sz w:val="21"/>
          <w:szCs w:val="21"/>
          <w:highlight w:val="none"/>
        </w:rPr>
        <w:t>。</w:t>
      </w:r>
    </w:p>
    <w:p w14:paraId="34306BC7">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发包人不提供，由承包人自行解决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9F71905">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60C8536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171104BA">
      <w:pPr>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1.4.3发包人对工程的技术标准和功能要求的特殊要求：</w:t>
      </w:r>
      <w:r>
        <w:rPr>
          <w:rFonts w:hint="eastAsia" w:ascii="宋体" w:hAnsi="宋体" w:eastAsia="宋体" w:cs="宋体"/>
          <w:color w:val="auto"/>
          <w:sz w:val="21"/>
          <w:szCs w:val="21"/>
          <w:highlight w:val="none"/>
          <w:u w:val="single"/>
        </w:rPr>
        <w:t>没有国家标准、规范时，有行业标准、规范的，使用行业标准、规范；没有国家和行业标准、规范的，使用地方的标准、规范。没有国家、行业和地方标准、规范的，且不使用国外标准、规范时，按发包人、承包人和设计单位商定的方案施工</w:t>
      </w:r>
      <w:r>
        <w:rPr>
          <w:rFonts w:hint="eastAsia" w:ascii="宋体" w:hAnsi="宋体" w:eastAsia="宋体" w:cs="宋体"/>
          <w:color w:val="auto"/>
          <w:sz w:val="21"/>
          <w:szCs w:val="21"/>
          <w:highlight w:val="none"/>
        </w:rPr>
        <w:t>。</w:t>
      </w:r>
    </w:p>
    <w:p w14:paraId="56AF538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图纸和承包人文件</w:t>
      </w:r>
      <w:r>
        <w:rPr>
          <w:rFonts w:hint="eastAsia" w:ascii="宋体" w:hAnsi="宋体" w:eastAsia="宋体" w:cs="宋体"/>
          <w:color w:val="auto"/>
          <w:sz w:val="21"/>
          <w:szCs w:val="21"/>
          <w:highlight w:val="none"/>
        </w:rPr>
        <w:tab/>
      </w:r>
    </w:p>
    <w:p w14:paraId="6915803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65C0212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开工日期前7天前；</w:t>
      </w:r>
    </w:p>
    <w:p w14:paraId="16B43F57">
      <w:pPr>
        <w:widowControl/>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rPr>
        <w:t xml:space="preserve">纸质施工图3套及与其一致的电子版施工图，如承包人需要增加图纸套数的，相应的复制费用由承包人自行承担。 </w:t>
      </w:r>
    </w:p>
    <w:p w14:paraId="08D8E866">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rPr>
        <w:t>按招标文件的图纸目录提供。</w:t>
      </w:r>
    </w:p>
    <w:p w14:paraId="7D4603B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4DED418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资金月使用计划，施工组织设计、专项施工方案、工程总进度计划、工程月进度计划表等；承包人提交修正后的施工组织设计、专项施工方案等的技术标准不低于投标承诺或原承诺标准，且修改或优化后的施工组织设计、专项施工方案须报监理人、发包人批准。</w:t>
      </w:r>
    </w:p>
    <w:p w14:paraId="5CE3B30C">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施工组织设计、进度计划在接到开工通知后7天内，专项施工方案在相应部位施工前7天；发包人对承包人的施工组织设计（或方案）和进度计划提出质疑和合理修正时，承包人应7天内提供修正完成并重新提交；每月20日前向发包人提交下月进度计划和施工方案。</w:t>
      </w:r>
    </w:p>
    <w:p w14:paraId="241578F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按发包人要求</w:t>
      </w:r>
      <w:r>
        <w:rPr>
          <w:rFonts w:hint="eastAsia" w:ascii="宋体" w:hAnsi="宋体" w:eastAsia="宋体" w:cs="宋体"/>
          <w:color w:val="auto"/>
          <w:sz w:val="21"/>
          <w:szCs w:val="21"/>
          <w:highlight w:val="none"/>
        </w:rPr>
        <w:t>；</w:t>
      </w:r>
    </w:p>
    <w:p w14:paraId="0CB425A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纸质及电子版本；</w:t>
      </w:r>
    </w:p>
    <w:p w14:paraId="059FF169">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收到相应文件后7天内。</w:t>
      </w:r>
    </w:p>
    <w:p w14:paraId="2CE8CFF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14:paraId="6CF4702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由监理人在现场保管一套完整施工图，供发包人、监理人及有关人员进行工程检查等活动时使用。</w:t>
      </w:r>
    </w:p>
    <w:p w14:paraId="506DBF1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联络</w:t>
      </w:r>
    </w:p>
    <w:p w14:paraId="7832F530">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38EAAF0F">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1DBD65CB">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发包人接收文件的电子信箱：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239424C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5C44AF">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C2C17B4">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38B327A4">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A9E6FC8">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本工程施工现场监理办公室</w:t>
      </w:r>
      <w:r>
        <w:rPr>
          <w:rFonts w:hint="eastAsia" w:ascii="宋体" w:hAnsi="宋体" w:eastAsia="宋体" w:cs="宋体"/>
          <w:color w:val="auto"/>
          <w:kern w:val="0"/>
          <w:sz w:val="21"/>
          <w:szCs w:val="21"/>
          <w:highlight w:val="none"/>
        </w:rPr>
        <w:t>；</w:t>
      </w:r>
    </w:p>
    <w:p w14:paraId="0F15AE3C">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2C5109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总监理工程师及其指定的授权代表</w:t>
      </w:r>
      <w:r>
        <w:rPr>
          <w:rFonts w:hint="eastAsia" w:ascii="宋体" w:hAnsi="宋体" w:eastAsia="宋体" w:cs="宋体"/>
          <w:color w:val="auto"/>
          <w:sz w:val="21"/>
          <w:szCs w:val="21"/>
          <w:highlight w:val="none"/>
        </w:rPr>
        <w:t>。</w:t>
      </w:r>
    </w:p>
    <w:p w14:paraId="49D4FD2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发包人、承包人、监理人的文件接收地址、接收人（含联系电话）发生变动的，应提前 3 天通知各方。</w:t>
      </w:r>
    </w:p>
    <w:p w14:paraId="6FD6A87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交通运输</w:t>
      </w:r>
    </w:p>
    <w:p w14:paraId="2E5B861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57" w:name="_Toc312677986"/>
      <w:bookmarkStart w:id="158" w:name="_Toc304295521"/>
      <w:bookmarkStart w:id="159" w:name="_Toc318581155"/>
      <w:bookmarkStart w:id="160" w:name="_Toc303539100"/>
      <w:bookmarkStart w:id="161" w:name="_Toc300934943"/>
      <w:r>
        <w:rPr>
          <w:rFonts w:hint="eastAsia" w:ascii="宋体" w:hAnsi="宋体" w:eastAsia="宋体" w:cs="宋体"/>
          <w:color w:val="auto"/>
          <w:sz w:val="21"/>
          <w:szCs w:val="21"/>
          <w:highlight w:val="none"/>
        </w:rPr>
        <w:t>.10.1 出入现场的权利</w:t>
      </w:r>
    </w:p>
    <w:p w14:paraId="013F7BA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施工现场及周边实际情况，经承包人现场勘察，自行综合考虑。场外道路若不能满足施工要求，承包人须自行考虑解决，发包人协调配合</w:t>
      </w:r>
      <w:r>
        <w:rPr>
          <w:rFonts w:hint="eastAsia" w:ascii="宋体" w:hAnsi="宋体" w:eastAsia="宋体" w:cs="宋体"/>
          <w:color w:val="auto"/>
          <w:sz w:val="21"/>
          <w:szCs w:val="21"/>
          <w:highlight w:val="none"/>
        </w:rPr>
        <w:t>。</w:t>
      </w:r>
    </w:p>
    <w:bookmarkEnd w:id="157"/>
    <w:bookmarkEnd w:id="158"/>
    <w:bookmarkEnd w:id="159"/>
    <w:bookmarkEnd w:id="160"/>
    <w:bookmarkEnd w:id="161"/>
    <w:p w14:paraId="686C1D17">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62" w:name="_Toc318581157"/>
      <w:r>
        <w:rPr>
          <w:rFonts w:hint="eastAsia" w:ascii="宋体" w:hAnsi="宋体" w:eastAsia="宋体" w:cs="宋体"/>
          <w:color w:val="auto"/>
          <w:sz w:val="21"/>
          <w:szCs w:val="21"/>
          <w:highlight w:val="none"/>
        </w:rPr>
        <w:t>1</w:t>
      </w:r>
      <w:bookmarkStart w:id="163" w:name="_Toc303539101"/>
      <w:bookmarkStart w:id="164" w:name="_Toc318581156"/>
      <w:bookmarkStart w:id="165" w:name="_Toc312677987"/>
      <w:bookmarkStart w:id="166" w:name="_Toc304295522"/>
      <w:bookmarkStart w:id="167" w:name="_Toc300934944"/>
      <w:r>
        <w:rPr>
          <w:rFonts w:hint="eastAsia" w:ascii="宋体" w:hAnsi="宋体" w:eastAsia="宋体" w:cs="宋体"/>
          <w:color w:val="auto"/>
          <w:sz w:val="21"/>
          <w:szCs w:val="21"/>
          <w:highlight w:val="none"/>
        </w:rPr>
        <w:t>.10.3 场内交通</w:t>
      </w:r>
    </w:p>
    <w:p w14:paraId="5E20448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发包人提供的施工条件为现状，承包人自行组织现场踏勘了解。由承包人自行在投标报价中综合考虑，结算时不另行计取费用。</w:t>
      </w:r>
    </w:p>
    <w:p w14:paraId="2A53C2C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发包人提供的场内交通条件为现状，承包人自行组织现场踏勘，并在投标报价中综合考虑，结算时不另行计取费用</w:t>
      </w:r>
      <w:r>
        <w:rPr>
          <w:rFonts w:hint="eastAsia" w:ascii="宋体" w:hAnsi="宋体" w:eastAsia="宋体" w:cs="宋体"/>
          <w:color w:val="auto"/>
          <w:sz w:val="21"/>
          <w:szCs w:val="21"/>
          <w:highlight w:val="none"/>
        </w:rPr>
        <w:t>。</w:t>
      </w:r>
      <w:bookmarkEnd w:id="163"/>
      <w:bookmarkEnd w:id="164"/>
      <w:bookmarkEnd w:id="165"/>
      <w:bookmarkEnd w:id="166"/>
      <w:bookmarkEnd w:id="167"/>
    </w:p>
    <w:p w14:paraId="3E213F0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14:paraId="500B7F1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w:t>
      </w:r>
      <w:r>
        <w:rPr>
          <w:rFonts w:hint="eastAsia" w:ascii="宋体" w:hAnsi="宋体" w:eastAsia="宋体" w:cs="宋体"/>
          <w:color w:val="auto"/>
          <w:sz w:val="21"/>
          <w:szCs w:val="21"/>
          <w:highlight w:val="none"/>
          <w:u w:val="single"/>
        </w:rPr>
        <w:t>由承包人在报价中综合考虑，并承担相应费用。</w:t>
      </w:r>
    </w:p>
    <w:bookmarkEnd w:id="162"/>
    <w:p w14:paraId="2E871C6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知识产权</w:t>
      </w:r>
    </w:p>
    <w:p w14:paraId="6B33545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14:paraId="71D8680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按合同通用条款  </w:t>
      </w:r>
      <w:r>
        <w:rPr>
          <w:rFonts w:hint="eastAsia" w:ascii="宋体" w:hAnsi="宋体" w:eastAsia="宋体" w:cs="宋体"/>
          <w:color w:val="auto"/>
          <w:sz w:val="21"/>
          <w:szCs w:val="21"/>
          <w:highlight w:val="none"/>
        </w:rPr>
        <w:t>。</w:t>
      </w:r>
    </w:p>
    <w:p w14:paraId="5332021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发包人</w:t>
      </w:r>
      <w:r>
        <w:rPr>
          <w:rFonts w:hint="eastAsia" w:ascii="宋体" w:hAnsi="宋体" w:eastAsia="宋体" w:cs="宋体"/>
          <w:color w:val="auto"/>
          <w:sz w:val="21"/>
          <w:szCs w:val="21"/>
          <w:highlight w:val="none"/>
        </w:rPr>
        <w:t>。</w:t>
      </w:r>
    </w:p>
    <w:p w14:paraId="69DBC57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14:paraId="5A370081">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包含在签约合同价内</w:t>
      </w:r>
      <w:r>
        <w:rPr>
          <w:rFonts w:hint="eastAsia" w:ascii="宋体" w:hAnsi="宋体" w:eastAsia="宋体" w:cs="宋体"/>
          <w:color w:val="auto"/>
          <w:kern w:val="0"/>
          <w:sz w:val="21"/>
          <w:szCs w:val="21"/>
          <w:highlight w:val="none"/>
        </w:rPr>
        <w:t>。</w:t>
      </w:r>
    </w:p>
    <w:p w14:paraId="7086357B">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68" w:name="_Toc351203634"/>
      <w:r>
        <w:rPr>
          <w:rFonts w:hint="eastAsia" w:ascii="宋体" w:hAnsi="宋体" w:eastAsia="宋体" w:cs="宋体"/>
          <w:color w:val="auto"/>
          <w:sz w:val="21"/>
          <w:szCs w:val="21"/>
          <w:highlight w:val="none"/>
        </w:rPr>
        <w:t>1.13</w:t>
      </w:r>
      <w:r>
        <w:rPr>
          <w:rFonts w:hint="eastAsia" w:ascii="宋体" w:hAnsi="宋体" w:eastAsia="宋体" w:cs="宋体"/>
          <w:color w:val="auto"/>
          <w:sz w:val="21"/>
          <w:szCs w:val="21"/>
          <w:highlight w:val="none"/>
          <w:lang w:bidi="ar"/>
        </w:rPr>
        <w:t>工料单价错误的修正</w:t>
      </w:r>
    </w:p>
    <w:p w14:paraId="4A4B1CAC">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bidi="ar"/>
        </w:rPr>
        <w:t>发包人提供的直接工程费如发现计算错误、定额子目套用错误，</w:t>
      </w:r>
      <w:r>
        <w:rPr>
          <w:rFonts w:hint="eastAsia" w:ascii="宋体" w:hAnsi="宋体" w:eastAsia="宋体" w:cs="宋体"/>
          <w:color w:val="auto"/>
          <w:sz w:val="21"/>
          <w:szCs w:val="21"/>
          <w:highlight w:val="none"/>
          <w:u w:val="single"/>
          <w:lang w:eastAsia="zh-CN" w:bidi="ar"/>
        </w:rPr>
        <w:t>项目预算</w:t>
      </w:r>
      <w:r>
        <w:rPr>
          <w:rFonts w:hint="eastAsia" w:ascii="宋体" w:hAnsi="宋体" w:eastAsia="宋体" w:cs="宋体"/>
          <w:color w:val="auto"/>
          <w:sz w:val="21"/>
          <w:szCs w:val="21"/>
          <w:highlight w:val="none"/>
          <w:u w:val="single"/>
          <w:lang w:bidi="ar"/>
        </w:rPr>
        <w:t>出现漏项、新增项目，均可按实调整；</w:t>
      </w:r>
    </w:p>
    <w:p w14:paraId="7B1E0F47">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169" w:name="_Toc292559867"/>
      <w:bookmarkStart w:id="170" w:name="_Toc296503157"/>
      <w:bookmarkStart w:id="171" w:name="_Toc296346658"/>
      <w:bookmarkStart w:id="172" w:name="_Toc297120457"/>
      <w:bookmarkStart w:id="173" w:name="_Toc297048343"/>
      <w:bookmarkStart w:id="174" w:name="_Toc296944496"/>
      <w:bookmarkStart w:id="175" w:name="_Toc296891197"/>
      <w:bookmarkStart w:id="176" w:name="_Toc296890985"/>
      <w:bookmarkStart w:id="177" w:name="_Toc296347156"/>
      <w:bookmarkStart w:id="178" w:name="_Toc292559362"/>
      <w:r>
        <w:rPr>
          <w:rFonts w:hint="eastAsia" w:ascii="宋体" w:hAnsi="宋体" w:eastAsia="宋体" w:cs="宋体"/>
          <w:color w:val="auto"/>
          <w:sz w:val="21"/>
          <w:szCs w:val="21"/>
          <w:highlight w:val="none"/>
        </w:rPr>
        <w:t>. 发包人</w:t>
      </w:r>
      <w:bookmarkEnd w:id="168"/>
    </w:p>
    <w:bookmarkEnd w:id="169"/>
    <w:bookmarkEnd w:id="170"/>
    <w:bookmarkEnd w:id="171"/>
    <w:bookmarkEnd w:id="172"/>
    <w:bookmarkEnd w:id="173"/>
    <w:bookmarkEnd w:id="174"/>
    <w:bookmarkEnd w:id="175"/>
    <w:bookmarkEnd w:id="176"/>
    <w:bookmarkEnd w:id="177"/>
    <w:bookmarkEnd w:id="178"/>
    <w:p w14:paraId="2E88647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发包人代表</w:t>
      </w:r>
    </w:p>
    <w:p w14:paraId="2C4D342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5A01BDD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6375A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B72A2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A1A6E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5A1CC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CF0D2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89F482">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承包人将施工工期、工程量复核、设计变更及施工联系单、工程款支付签证等交至监理人审核，监理人签署后报发包人代表发包人代表负责审核及签署。发包人代表同时负责监理及施工项目班子人员管理及施工现场的服务、协调、督查工作。</w:t>
      </w:r>
    </w:p>
    <w:p w14:paraId="12CFF9E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施工现场、施工条件和基础资料的提供</w:t>
      </w:r>
    </w:p>
    <w:p w14:paraId="6E047FE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3672CB4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开工日期7天前</w:t>
      </w:r>
      <w:r>
        <w:rPr>
          <w:rFonts w:hint="eastAsia" w:ascii="宋体" w:hAnsi="宋体" w:eastAsia="宋体" w:cs="宋体"/>
          <w:color w:val="auto"/>
          <w:sz w:val="21"/>
          <w:szCs w:val="21"/>
          <w:highlight w:val="none"/>
        </w:rPr>
        <w:t>。</w:t>
      </w:r>
    </w:p>
    <w:p w14:paraId="69C5BED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303B3533">
      <w:pPr>
        <w:adjustRightInd w:val="0"/>
        <w:snapToGrid w:val="0"/>
        <w:spacing w:line="360" w:lineRule="exact"/>
        <w:ind w:firstLine="441" w:firstLineChars="21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施工临时用水、电接口由发包人提供，后续接驳工作由承包人自行完成，施工及试运行调试阶段的临时用水、电费用由承包人承担，承包人应持证上岗；水电费装表计量，承包人承担施工期间的水费，承包人必须每月按供水部门的计价标准，按所需缴纳金额及时足额缴纳；若承包人不按时缴纳，则发包人有权从工程款中扣除相应金额。</w:t>
      </w:r>
    </w:p>
    <w:p w14:paraId="35371B6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资金来源证明及支付担保</w:t>
      </w:r>
    </w:p>
    <w:p w14:paraId="5675FA0E">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不提供</w:t>
      </w:r>
      <w:r>
        <w:rPr>
          <w:rFonts w:hint="eastAsia" w:ascii="宋体" w:hAnsi="宋体" w:eastAsia="宋体" w:cs="宋体"/>
          <w:color w:val="auto"/>
          <w:sz w:val="21"/>
          <w:szCs w:val="21"/>
          <w:highlight w:val="none"/>
        </w:rPr>
        <w:t>。</w:t>
      </w:r>
    </w:p>
    <w:p w14:paraId="158F98D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262B290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w:t>
      </w:r>
      <w:bookmarkStart w:id="179" w:name="_Toc351203635"/>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0D14189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  支付合同价款</w:t>
      </w:r>
    </w:p>
    <w:p w14:paraId="5F8D724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发包人应按合同约定向承包人及时支付合同价款。</w:t>
      </w:r>
    </w:p>
    <w:p w14:paraId="005C4D0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组织竣工验收</w:t>
      </w:r>
    </w:p>
    <w:p w14:paraId="532B5A0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发包人应按合同约定及时组织竣工验收。</w:t>
      </w:r>
    </w:p>
    <w:p w14:paraId="5F8DD354">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承包人完成合同范围内工程内容，发包人应根据施工图纸、现行施工验收规范和质量验收标准及时组织工程质量验收。</w:t>
      </w:r>
    </w:p>
    <w:p w14:paraId="621E52B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180" w:name="_Toc296891198"/>
      <w:bookmarkStart w:id="181" w:name="_Toc296347157"/>
      <w:bookmarkStart w:id="182" w:name="_Toc296503158"/>
      <w:bookmarkStart w:id="183" w:name="_Toc292559868"/>
      <w:bookmarkStart w:id="184" w:name="_Toc297048344"/>
      <w:bookmarkStart w:id="185" w:name="_Toc296346659"/>
      <w:bookmarkStart w:id="186" w:name="_Toc296944497"/>
      <w:bookmarkStart w:id="187" w:name="_Toc297120458"/>
      <w:bookmarkStart w:id="188" w:name="_Toc296890986"/>
      <w:bookmarkStart w:id="189" w:name="_Toc292559363"/>
      <w:r>
        <w:rPr>
          <w:rFonts w:hint="eastAsia" w:ascii="宋体" w:hAnsi="宋体" w:eastAsia="宋体" w:cs="宋体"/>
          <w:color w:val="auto"/>
          <w:sz w:val="21"/>
          <w:szCs w:val="21"/>
          <w:highlight w:val="none"/>
        </w:rPr>
        <w:t xml:space="preserve">. </w:t>
      </w:r>
      <w:bookmarkEnd w:id="179"/>
      <w:r>
        <w:rPr>
          <w:rFonts w:hint="eastAsia" w:ascii="宋体" w:hAnsi="宋体" w:eastAsia="宋体" w:cs="宋体"/>
          <w:color w:val="auto"/>
          <w:sz w:val="21"/>
          <w:szCs w:val="21"/>
          <w:highlight w:val="none"/>
        </w:rPr>
        <w:t>承包人</w:t>
      </w:r>
    </w:p>
    <w:bookmarkEnd w:id="180"/>
    <w:bookmarkEnd w:id="181"/>
    <w:bookmarkEnd w:id="182"/>
    <w:bookmarkEnd w:id="183"/>
    <w:bookmarkEnd w:id="184"/>
    <w:bookmarkEnd w:id="185"/>
    <w:bookmarkEnd w:id="186"/>
    <w:bookmarkEnd w:id="187"/>
    <w:bookmarkEnd w:id="188"/>
    <w:bookmarkEnd w:id="189"/>
    <w:p w14:paraId="5584E28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承包人的一般义务</w:t>
      </w:r>
    </w:p>
    <w:p w14:paraId="2ABF8EB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向发包人提交按规范规定应由承包人编制部分的竣工资料，包括含施工过程中验收、检查时拍摄或录制的相片、影像资料等，并符合建设工程资料存档要求</w:t>
      </w:r>
      <w:r>
        <w:rPr>
          <w:rFonts w:hint="eastAsia" w:ascii="宋体" w:hAnsi="宋体" w:eastAsia="宋体" w:cs="宋体"/>
          <w:color w:val="auto"/>
          <w:sz w:val="21"/>
          <w:szCs w:val="21"/>
          <w:highlight w:val="none"/>
        </w:rPr>
        <w:t>。</w:t>
      </w:r>
    </w:p>
    <w:p w14:paraId="6D60B4A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满足发包人需求。</w:t>
      </w:r>
    </w:p>
    <w:p w14:paraId="3F621B0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由承包人承担，不再另行计取</w:t>
      </w:r>
      <w:r>
        <w:rPr>
          <w:rFonts w:hint="eastAsia" w:ascii="宋体" w:hAnsi="宋体" w:eastAsia="宋体" w:cs="宋体"/>
          <w:color w:val="auto"/>
          <w:sz w:val="21"/>
          <w:szCs w:val="21"/>
          <w:highlight w:val="none"/>
        </w:rPr>
        <w:t>。</w:t>
      </w:r>
    </w:p>
    <w:p w14:paraId="5C98297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工程竣工验收合格后7天内</w:t>
      </w:r>
      <w:r>
        <w:rPr>
          <w:rFonts w:hint="eastAsia" w:ascii="宋体" w:hAnsi="宋体" w:eastAsia="宋体" w:cs="宋体"/>
          <w:color w:val="auto"/>
          <w:sz w:val="21"/>
          <w:szCs w:val="21"/>
          <w:highlight w:val="none"/>
        </w:rPr>
        <w:t>。</w:t>
      </w:r>
    </w:p>
    <w:p w14:paraId="40ABDDB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纸质及相关电子数据</w:t>
      </w:r>
      <w:r>
        <w:rPr>
          <w:rFonts w:hint="eastAsia" w:ascii="宋体" w:hAnsi="宋体" w:eastAsia="宋体" w:cs="宋体"/>
          <w:color w:val="auto"/>
          <w:sz w:val="21"/>
          <w:szCs w:val="21"/>
          <w:highlight w:val="none"/>
        </w:rPr>
        <w:t>。</w:t>
      </w:r>
    </w:p>
    <w:p w14:paraId="79EC134C">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18EFE686">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a、重大活动期间以及发包人需要的时间段内，可能对施工做出某些限制和配合要求，承包人应按照要求做出必要的配合，并承担因此而引起工效降低所需增加的费用。相关费用含在合同价款中。</w:t>
      </w:r>
    </w:p>
    <w:p w14:paraId="2F1865F8">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b、施工单位进场施工前须对周围树木、房屋建筑、管线等做好摸底排查工作，在施工中必须严格按照规范操作，并针对周围树木、管线和邻近建筑物实际情况，采取相应防护措施，对不按规范要求施工或未采取防护措施的，造成的损失由承包人承担；承包人拒绝承担的，发包人有权从工程款中扣除相应金额。</w:t>
      </w:r>
    </w:p>
    <w:p w14:paraId="102AE0F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c、本项目施工安全由承包人负总责。</w:t>
      </w:r>
    </w:p>
    <w:p w14:paraId="24AC3AF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d、按当地有关部门要求,由承包人办理的有关施工场地交通、环卫和施工噪音管理等手续。</w:t>
      </w:r>
    </w:p>
    <w:p w14:paraId="34E69E6C">
      <w:pPr>
        <w:widowControl/>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e、不管投标时有无承诺，施工现场必须配备能满足停电、电荒时施工所需要的发电机组和满足停水时必要的储水设施，所涉及到的费用包含在合同价内综合考虑，不再另行计取。</w:t>
      </w:r>
    </w:p>
    <w:p w14:paraId="367A76A1">
      <w:pPr>
        <w:widowControl/>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f、对发包人的现场监督工作予以充分的配合与协助，承包人在实际施工时应做好与其他施工单位的协调工作。承包人服从发包人、监理公司的管理，做好交叉施工事宜及其他与本工程施工相关的工作。</w:t>
      </w:r>
    </w:p>
    <w:p w14:paraId="1E103BAB">
      <w:pPr>
        <w:widowControl/>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g、协助办理竣工验收备案、工程档案移交、工程项目移交的相关手续，并协助发包人进行工程移交。承包人协助组织施工过程中的专项验收、竣工验收等，相关费用含在本合同价款中，发包人不再另行支付。</w:t>
      </w:r>
    </w:p>
    <w:p w14:paraId="515BC486">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h、承包人应承担法律法规以及按规范、标准要求必须进行的各类复试检测，所发生的一切费用由承包人承担。如发包人对承包人提供的检测报告或检测结论有异议，认为需要重新检测时，承包人应无条件重新检测，重新检测的材料费由承包人先行承担，当检测合格时二次检测费用由发包人承担；当检测不合格时，检测费用由承包人承担，并无条件更换已进场或已使用的材料同时承担由此产生的一切损失及费用（包括再次重新检测时发生的材料费、检测费等一切费用，直到检测合格为止）。由此造成工期延迟的，由承包人承担逾期责任。</w:t>
      </w:r>
    </w:p>
    <w:p w14:paraId="1C746D5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i、承包人必须完成本合同规定的全部工作内容，如某项工作内容达不到相关相关要求，在监理方下达整改通知后仍不执行，则发包人有权委托第三方完成该项工作，并将相应费用从承包人的工程款中扣除，由此造成的损失和后果由承包人自行承担。</w:t>
      </w:r>
    </w:p>
    <w:p w14:paraId="1E984428">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j、已竣工工程未交付之前，承包人负责已完工程的保护工作，保护期间发生损坏，责任方自费予以修复至符合验收条件。</w:t>
      </w:r>
    </w:p>
    <w:p w14:paraId="0ED16BBD">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k、承包人应合理安排施工顺序，不得影响道路周边居民的正常出入，并承担与周围群众及民间组织的协调、沟通、安抚任务，并承担所发生的一切费用，如承包人不能协调好与周围群众的关系而导致施工无法正常进行，承包人应无条件服从发包人的协调结果，并承担相关费用。</w:t>
      </w:r>
    </w:p>
    <w:p w14:paraId="7C0E5889">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l、在施工中必须严格按照规范操作，对不按规范要求施工或未采取防护措施，造成的损失由承包人承担。</w:t>
      </w:r>
    </w:p>
    <w:p w14:paraId="2EF4C084">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m、与本工程有关的临时设施场地由承包人自行解决，费用包含在合同总价中，承包人不得另行收费。</w:t>
      </w:r>
    </w:p>
    <w:p w14:paraId="1837BDA8">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（11）承包人诚实信用的承诺：</w:t>
      </w:r>
      <w:r>
        <w:rPr>
          <w:rFonts w:hint="eastAsia" w:ascii="宋体" w:hAnsi="宋体" w:eastAsia="宋体" w:cs="宋体"/>
          <w:color w:val="auto"/>
          <w:kern w:val="0"/>
          <w:sz w:val="21"/>
          <w:szCs w:val="21"/>
          <w:highlight w:val="none"/>
          <w:u w:val="single"/>
        </w:rPr>
        <w:t>承包人向发包人承诺按照本合同约定及现场甲方和监理工程师的指令进行施工。竣工后，保修期内承担工程质量保修责任，并履行本合同约定的全部义务。</w:t>
      </w:r>
    </w:p>
    <w:p w14:paraId="51F9FBE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（12）承包人使用新技术、工法、工艺的承诺：</w:t>
      </w:r>
      <w:r>
        <w:rPr>
          <w:rFonts w:hint="eastAsia" w:ascii="宋体" w:hAnsi="宋体" w:eastAsia="宋体" w:cs="宋体"/>
          <w:color w:val="auto"/>
          <w:kern w:val="0"/>
          <w:sz w:val="21"/>
          <w:szCs w:val="21"/>
          <w:highlight w:val="none"/>
          <w:u w:val="single"/>
        </w:rPr>
        <w:t xml:space="preserve">     /      。 </w:t>
      </w:r>
    </w:p>
    <w:p w14:paraId="3D67CE0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项目负责人</w:t>
      </w:r>
    </w:p>
    <w:p w14:paraId="0AE3AEB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项目负责人：</w:t>
      </w:r>
    </w:p>
    <w:p w14:paraId="064AD38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28D41D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87CB4E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DC97E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E6D86E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409617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FCE7C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D4067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 w:val="21"/>
          <w:szCs w:val="21"/>
          <w:highlight w:val="none"/>
          <w:u w:val="single"/>
        </w:rPr>
        <w:t>在满足相关规定的前提下，承包人自行确定</w:t>
      </w:r>
      <w:r>
        <w:rPr>
          <w:rFonts w:hint="eastAsia" w:ascii="宋体" w:hAnsi="宋体" w:eastAsia="宋体" w:cs="宋体"/>
          <w:color w:val="auto"/>
          <w:sz w:val="21"/>
          <w:szCs w:val="21"/>
          <w:highlight w:val="none"/>
        </w:rPr>
        <w:t>。</w:t>
      </w:r>
    </w:p>
    <w:p w14:paraId="7B83FB1A">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月到岗率须达到24天；月到岗达不到约定天数，按相关行业主管部发布的规定处理。遇有工程检查、验收或参观等活动时，无特殊原因不得离开施工现场</w:t>
      </w:r>
      <w:r>
        <w:rPr>
          <w:rFonts w:hint="eastAsia" w:ascii="宋体" w:hAnsi="宋体" w:eastAsia="宋体" w:cs="宋体"/>
          <w:color w:val="auto"/>
          <w:sz w:val="21"/>
          <w:szCs w:val="21"/>
          <w:highlight w:val="none"/>
        </w:rPr>
        <w:t>。</w:t>
      </w:r>
    </w:p>
    <w:p w14:paraId="4C1516BA">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kern w:val="0"/>
          <w:sz w:val="21"/>
          <w:szCs w:val="21"/>
          <w:highlight w:val="none"/>
          <w:u w:val="single"/>
        </w:rPr>
        <w:t>发包人有权要求更换项目经理，由此增加的费用和（或）延误的工期由承包人承担，并承担违约责任</w:t>
      </w:r>
      <w:r>
        <w:rPr>
          <w:rFonts w:hint="eastAsia" w:ascii="宋体" w:hAnsi="宋体" w:eastAsia="宋体" w:cs="宋体"/>
          <w:color w:val="auto"/>
          <w:sz w:val="21"/>
          <w:szCs w:val="21"/>
          <w:highlight w:val="none"/>
        </w:rPr>
        <w:t>。</w:t>
      </w:r>
    </w:p>
    <w:p w14:paraId="4BF28E2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月到岗须达到24天，不足天数，每天扣除履约担保金额的0.1%（不足500元的按500元计），每月结算，在当期工程款支付时扣除，累计三个月达不到要求的，发包人有权终止合同，没收全部履约担保金，同时由承包人赔偿发包人由此造成的损失。另遇有工程检查、验收或参观等活动时，无特殊原因不得</w:t>
      </w:r>
      <w:r>
        <w:rPr>
          <w:rFonts w:hint="eastAsia" w:ascii="宋体" w:hAnsi="宋体" w:eastAsia="宋体" w:cs="宋体"/>
          <w:color w:val="auto"/>
          <w:kern w:val="0"/>
          <w:sz w:val="21"/>
          <w:szCs w:val="21"/>
          <w:highlight w:val="none"/>
          <w:u w:val="single"/>
        </w:rPr>
        <w:t>离开施工现场</w:t>
      </w:r>
      <w:r>
        <w:rPr>
          <w:rFonts w:hint="eastAsia" w:ascii="宋体" w:hAnsi="宋体" w:eastAsia="宋体" w:cs="宋体"/>
          <w:color w:val="auto"/>
          <w:sz w:val="21"/>
          <w:szCs w:val="21"/>
          <w:highlight w:val="none"/>
          <w:u w:val="single"/>
        </w:rPr>
        <w:t>。</w:t>
      </w:r>
    </w:p>
    <w:p w14:paraId="5A190A48">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项目经理因发生重大安全事故、生病住院、终止劳动合同关系、被责令停止执业、羁押或判刑等情形，确已无法继续担任项目经理，承包人向发包人提出申请，发包人无特殊原因应同意更换，并报所在地建设行政主管部门备案，更换到位的项目经理资质、信用等级不低于原项目经理；如承包人擅自更换，按每更换一人次扣除履约担保金额的20%；及至发包人可通知承包人全部解除合同，所有履约担保金归发包人，并赔偿发包人损失。</w:t>
      </w:r>
    </w:p>
    <w:p w14:paraId="14CA5E3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承包人应更换而拒绝更换项目经理的违约责任：</w:t>
      </w:r>
      <w:r>
        <w:rPr>
          <w:rFonts w:hint="eastAsia" w:ascii="宋体" w:hAnsi="宋体" w:eastAsia="宋体" w:cs="宋体"/>
          <w:color w:val="auto"/>
          <w:sz w:val="21"/>
          <w:szCs w:val="21"/>
          <w:highlight w:val="none"/>
          <w:u w:val="single"/>
        </w:rPr>
        <w:t>发包人可通知承包人解除合同，所有履约担保金归发包人，同时赔偿发包人损失</w:t>
      </w:r>
      <w:r>
        <w:rPr>
          <w:rFonts w:hint="eastAsia" w:ascii="宋体" w:hAnsi="宋体" w:eastAsia="宋体" w:cs="宋体"/>
          <w:color w:val="auto"/>
          <w:sz w:val="21"/>
          <w:szCs w:val="21"/>
          <w:highlight w:val="none"/>
        </w:rPr>
        <w:t>。</w:t>
      </w:r>
    </w:p>
    <w:p w14:paraId="3C7E2C1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承包人人员</w:t>
      </w:r>
    </w:p>
    <w:p w14:paraId="2B3AF0F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 w:val="21"/>
          <w:szCs w:val="21"/>
          <w:highlight w:val="none"/>
          <w:u w:val="single"/>
        </w:rPr>
        <w:t>接到开工通知后7天内</w:t>
      </w:r>
      <w:r>
        <w:rPr>
          <w:rFonts w:hint="eastAsia" w:ascii="宋体" w:hAnsi="宋体" w:eastAsia="宋体" w:cs="宋体"/>
          <w:color w:val="auto"/>
          <w:sz w:val="21"/>
          <w:szCs w:val="21"/>
          <w:highlight w:val="none"/>
        </w:rPr>
        <w:t>。</w:t>
      </w:r>
    </w:p>
    <w:p w14:paraId="09DEC29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3.3.3 承包人应更换而拒绝撤换主要施工管理人员的违约责任：</w:t>
      </w:r>
      <w:r>
        <w:rPr>
          <w:rFonts w:hint="eastAsia" w:ascii="宋体" w:hAnsi="宋体" w:eastAsia="宋体" w:cs="宋体"/>
          <w:color w:val="auto"/>
          <w:sz w:val="21"/>
          <w:szCs w:val="21"/>
          <w:highlight w:val="none"/>
          <w:u w:val="single"/>
        </w:rPr>
        <w:t>发包人可通知承包人解除合同，所有履约担保金归发包人，同时赔偿发包人损失。</w:t>
      </w:r>
    </w:p>
    <w:p w14:paraId="0AC9BA0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按通用合同条款；按相关行业主管部发布的规定处理。另遇有工程检查、验收或参观等活动时，无特殊原因不得请假</w:t>
      </w:r>
      <w:r>
        <w:rPr>
          <w:rFonts w:hint="eastAsia" w:ascii="宋体" w:hAnsi="宋体" w:eastAsia="宋体" w:cs="宋体"/>
          <w:color w:val="auto"/>
          <w:sz w:val="21"/>
          <w:szCs w:val="21"/>
          <w:highlight w:val="none"/>
        </w:rPr>
        <w:t>。</w:t>
      </w:r>
    </w:p>
    <w:p w14:paraId="4160174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3.3.5承包人擅自更换主要施工管理人员的违约责任：</w:t>
      </w:r>
      <w:r>
        <w:rPr>
          <w:rFonts w:hint="eastAsia" w:ascii="宋体" w:hAnsi="宋体" w:eastAsia="宋体" w:cs="宋体"/>
          <w:color w:val="auto"/>
          <w:sz w:val="21"/>
          <w:szCs w:val="21"/>
          <w:highlight w:val="none"/>
          <w:u w:val="single"/>
        </w:rPr>
        <w:t>因发生重大安全事故、生病住院、终止劳动合同关系、被责令停止执业、羁押或判刑情形，确已无法继续担任相应岗位工作，承包人向发包人提出申请，发包人无特殊理由应同意更换，并报工程所在地建设行政主管部门备案，对更换到位的技术负责人资质、信用等级应不低于原技术负责人；如承包人擅自更换，按技术负责人每更换一人次扣除履约担保金的10%；其他关键岗位人员每更换一人次扣除履约担保金额的5%。</w:t>
      </w:r>
    </w:p>
    <w:p w14:paraId="74D2347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关键岗位人员到岗达不到24天的，不足天数每人次每天扣除履约担保金额的0.05%（不足300元的按300元计），每月结算，在当期工程款支付时扣除，并一次性扣除履约担保金的5%，且发包人有权要求承包人更换该关键岗位人员。</w:t>
      </w:r>
    </w:p>
    <w:p w14:paraId="3E2691DF">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90" w:name="_Toc318581159"/>
      <w:bookmarkStart w:id="191" w:name="_Toc312677990"/>
      <w:r>
        <w:rPr>
          <w:rFonts w:hint="eastAsia" w:ascii="宋体" w:hAnsi="宋体" w:eastAsia="宋体" w:cs="宋体"/>
          <w:color w:val="auto"/>
          <w:sz w:val="21"/>
          <w:szCs w:val="21"/>
          <w:highlight w:val="none"/>
        </w:rPr>
        <w:t>3</w:t>
      </w:r>
      <w:bookmarkStart w:id="192" w:name="_Toc292559364"/>
      <w:bookmarkStart w:id="193" w:name="_Toc297123492"/>
      <w:bookmarkStart w:id="194" w:name="_Toc303539102"/>
      <w:bookmarkStart w:id="195" w:name="_Toc297216151"/>
      <w:bookmarkStart w:id="196" w:name="_Toc296346660"/>
      <w:bookmarkStart w:id="197" w:name="_Toc296944498"/>
      <w:bookmarkStart w:id="198" w:name="_Toc297048345"/>
      <w:bookmarkStart w:id="199" w:name="_Toc297120459"/>
      <w:bookmarkStart w:id="200" w:name="_Toc312677988"/>
      <w:bookmarkStart w:id="201" w:name="_Toc296347158"/>
      <w:bookmarkStart w:id="202" w:name="_Toc292559869"/>
      <w:bookmarkStart w:id="203" w:name="_Toc296891199"/>
      <w:bookmarkStart w:id="204" w:name="_Toc304295523"/>
      <w:bookmarkStart w:id="205" w:name="_Toc300934945"/>
      <w:bookmarkStart w:id="206" w:name="_Toc296503159"/>
      <w:bookmarkStart w:id="207" w:name="_Toc296890987"/>
      <w:r>
        <w:rPr>
          <w:rFonts w:hint="eastAsia" w:ascii="宋体" w:hAnsi="宋体" w:eastAsia="宋体" w:cs="宋体"/>
          <w:color w:val="auto"/>
          <w:sz w:val="21"/>
          <w:szCs w:val="21"/>
          <w:highlight w:val="none"/>
        </w:rPr>
        <w:t>.5 分包</w:t>
      </w: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14:paraId="7184318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08" w:name="_Toc292559365"/>
      <w:bookmarkStart w:id="209" w:name="_Toc297048346"/>
      <w:bookmarkStart w:id="210" w:name="_Toc296503160"/>
      <w:bookmarkStart w:id="211" w:name="_Toc296347159"/>
      <w:bookmarkStart w:id="212" w:name="_Toc296891200"/>
      <w:bookmarkStart w:id="213" w:name="_Toc296346661"/>
      <w:bookmarkStart w:id="214" w:name="_Toc303539103"/>
      <w:bookmarkStart w:id="215" w:name="_Toc296944499"/>
      <w:bookmarkStart w:id="216" w:name="_Toc304295524"/>
      <w:bookmarkStart w:id="217" w:name="_Toc292559870"/>
      <w:bookmarkStart w:id="218" w:name="_Toc297216152"/>
      <w:bookmarkStart w:id="219" w:name="_Toc300934946"/>
      <w:bookmarkStart w:id="220" w:name="_Toc297120460"/>
      <w:bookmarkStart w:id="221" w:name="_Toc297123493"/>
      <w:bookmarkStart w:id="222" w:name="_Toc296890988"/>
      <w:bookmarkStart w:id="223" w:name="_Toc312677989"/>
      <w:bookmarkStart w:id="224" w:name="_Toc318581158"/>
      <w:r>
        <w:rPr>
          <w:rFonts w:hint="eastAsia" w:ascii="宋体" w:hAnsi="宋体" w:eastAsia="宋体" w:cs="宋体"/>
          <w:color w:val="auto"/>
          <w:sz w:val="21"/>
          <w:szCs w:val="21"/>
          <w:highlight w:val="none"/>
        </w:rPr>
        <w:t>.5.1 分包的一般约定</w:t>
      </w:r>
    </w:p>
    <w:p w14:paraId="7876516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本项目不允许分包</w:t>
      </w:r>
      <w:r>
        <w:rPr>
          <w:rFonts w:hint="eastAsia" w:ascii="宋体" w:hAnsi="宋体" w:eastAsia="宋体" w:cs="宋体"/>
          <w:color w:val="auto"/>
          <w:sz w:val="21"/>
          <w:szCs w:val="21"/>
          <w:highlight w:val="none"/>
        </w:rPr>
        <w:t>。</w:t>
      </w:r>
    </w:p>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14:paraId="2D0C1C28">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DDEA69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3.5.2分包的确定</w:t>
      </w:r>
    </w:p>
    <w:p w14:paraId="62F9889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不得分包      </w:t>
      </w:r>
      <w:r>
        <w:rPr>
          <w:rFonts w:hint="eastAsia" w:ascii="宋体" w:hAnsi="宋体" w:eastAsia="宋体" w:cs="宋体"/>
          <w:color w:val="auto"/>
          <w:sz w:val="21"/>
          <w:szCs w:val="21"/>
          <w:highlight w:val="none"/>
        </w:rPr>
        <w:t>。</w:t>
      </w:r>
    </w:p>
    <w:p w14:paraId="0934FF4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5F9BA2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14:paraId="66CE833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3AFB20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工程照管与成品、半成品保护</w:t>
      </w:r>
    </w:p>
    <w:bookmarkEnd w:id="190"/>
    <w:bookmarkEnd w:id="191"/>
    <w:p w14:paraId="23E418E1">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kern w:val="0"/>
          <w:sz w:val="21"/>
          <w:szCs w:val="21"/>
          <w:highlight w:val="none"/>
        </w:rPr>
        <w:t>。</w:t>
      </w:r>
    </w:p>
    <w:p w14:paraId="0AC7967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履约担保</w:t>
      </w:r>
    </w:p>
    <w:p w14:paraId="2A21475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是 </w:t>
      </w:r>
      <w:r>
        <w:rPr>
          <w:rFonts w:hint="eastAsia" w:ascii="宋体" w:hAnsi="宋体" w:eastAsia="宋体" w:cs="宋体"/>
          <w:color w:val="auto"/>
          <w:sz w:val="21"/>
          <w:szCs w:val="21"/>
          <w:highlight w:val="none"/>
        </w:rPr>
        <w:t>。</w:t>
      </w:r>
    </w:p>
    <w:p w14:paraId="2D1A15A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承包人提供履约担保的形式、金额及期限的：</w:t>
      </w:r>
      <w:r>
        <w:rPr>
          <w:rFonts w:hint="eastAsia" w:ascii="宋体" w:hAnsi="宋体" w:eastAsia="宋体" w:cs="宋体"/>
          <w:color w:val="auto"/>
          <w:sz w:val="21"/>
          <w:szCs w:val="21"/>
          <w:highlight w:val="none"/>
          <w:u w:val="single"/>
        </w:rPr>
        <w:t>签订工程合同前提供履约保函，保函形式为银行保函、保险机构保证保险保单和融资担保公司保函（保函、保单须为见索即付型），金额为签约合同价的2%；如不能办理担保采用现金的，承包人必须通过其基本账户转出的转帐、电汇或银行汇票方式解入发包人指定帐户。</w:t>
      </w:r>
    </w:p>
    <w:p w14:paraId="1871903E">
      <w:pPr>
        <w:pStyle w:val="64"/>
        <w:snapToGrid w:val="0"/>
        <w:spacing w:before="0" w:after="0" w:line="360" w:lineRule="exact"/>
        <w:ind w:left="0" w:right="0"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履约担保其他担保事项约定：</w:t>
      </w:r>
    </w:p>
    <w:p w14:paraId="601373BC">
      <w:pPr>
        <w:pStyle w:val="64"/>
        <w:snapToGrid w:val="0"/>
        <w:spacing w:before="0" w:after="0" w:line="360" w:lineRule="exact"/>
        <w:ind w:left="0" w:right="0" w:firstLine="420" w:firstLineChars="200"/>
        <w:jc w:val="both"/>
        <w:rPr>
          <w:rFonts w:hint="eastAsia" w:ascii="宋体" w:hAnsi="宋体" w:cs="宋体"/>
          <w:color w:val="auto"/>
          <w:kern w:val="2"/>
          <w:sz w:val="21"/>
          <w:szCs w:val="21"/>
          <w:highlight w:val="none"/>
          <w:u w:val="single"/>
        </w:rPr>
      </w:pPr>
      <w:bookmarkStart w:id="225" w:name="_Toc351203636"/>
      <w:r>
        <w:rPr>
          <w:rFonts w:hint="eastAsia" w:ascii="宋体" w:hAnsi="宋体" w:cs="宋体"/>
          <w:color w:val="auto"/>
          <w:kern w:val="2"/>
          <w:sz w:val="21"/>
          <w:szCs w:val="21"/>
          <w:highlight w:val="none"/>
          <w:u w:val="single"/>
        </w:rPr>
        <w:t>1）承包人应按照招标文件要求提供履约担保，履约担保待获工程竣工验收合格后，并按合同条款规定完全履约后，由承包人申请退还。收到承包人退还申请后，发包人应根据合同履约情况在30日内退还承包人全部或部分履约保证金。如承包人在施工过程中违背合同规定的，发包人有权没收相应的履约担保，担保合同作为本合同附件；履约担保在合同期内不计息。</w:t>
      </w:r>
    </w:p>
    <w:p w14:paraId="44A6666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2）担保合同已到期，但本工程未竣工验收时，承包人必须及时续保，续保费用承包人自行承担。如不及时续保，发包人有权扣除工程款抵作履约担保。</w:t>
      </w:r>
    </w:p>
    <w:p w14:paraId="57221267">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bookmarkStart w:id="226" w:name="_Toc292559366"/>
      <w:bookmarkStart w:id="227" w:name="_Toc297048348"/>
      <w:bookmarkStart w:id="228" w:name="_Toc296890990"/>
      <w:bookmarkStart w:id="229" w:name="_Toc296944501"/>
      <w:bookmarkStart w:id="230" w:name="_Toc297120462"/>
      <w:bookmarkStart w:id="231" w:name="_Toc296347161"/>
      <w:bookmarkStart w:id="232" w:name="_Toc267251413"/>
      <w:bookmarkStart w:id="233" w:name="_Toc296891202"/>
      <w:bookmarkStart w:id="234" w:name="_Toc296503162"/>
      <w:bookmarkStart w:id="235" w:name="_Toc292559871"/>
      <w:bookmarkStart w:id="236" w:name="_Toc296346663"/>
      <w:r>
        <w:rPr>
          <w:rFonts w:hint="eastAsia" w:ascii="宋体" w:hAnsi="宋体" w:eastAsia="宋体" w:cs="宋体"/>
          <w:color w:val="auto"/>
          <w:sz w:val="21"/>
          <w:szCs w:val="21"/>
          <w:highlight w:val="none"/>
        </w:rPr>
        <w:t>. 监</w:t>
      </w:r>
      <w:bookmarkEnd w:id="226"/>
      <w:bookmarkEnd w:id="227"/>
      <w:bookmarkEnd w:id="228"/>
      <w:bookmarkEnd w:id="229"/>
      <w:bookmarkEnd w:id="230"/>
      <w:bookmarkEnd w:id="231"/>
      <w:bookmarkEnd w:id="232"/>
      <w:bookmarkEnd w:id="233"/>
      <w:bookmarkEnd w:id="234"/>
      <w:bookmarkEnd w:id="235"/>
      <w:bookmarkEnd w:id="236"/>
      <w:r>
        <w:rPr>
          <w:rFonts w:hint="eastAsia" w:ascii="宋体" w:hAnsi="宋体" w:eastAsia="宋体" w:cs="宋体"/>
          <w:color w:val="auto"/>
          <w:sz w:val="21"/>
          <w:szCs w:val="21"/>
          <w:highlight w:val="none"/>
        </w:rPr>
        <w:t>理人</w:t>
      </w:r>
      <w:bookmarkEnd w:id="225"/>
    </w:p>
    <w:p w14:paraId="19D966B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4.1监理人的一般规定</w:t>
      </w:r>
    </w:p>
    <w:p w14:paraId="55C56B8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按本工程监理合同约定内容</w:t>
      </w:r>
      <w:r>
        <w:rPr>
          <w:rFonts w:hint="eastAsia" w:ascii="宋体" w:hAnsi="宋体" w:eastAsia="宋体" w:cs="宋体"/>
          <w:color w:val="auto"/>
          <w:sz w:val="21"/>
          <w:szCs w:val="21"/>
          <w:highlight w:val="none"/>
        </w:rPr>
        <w:t>。</w:t>
      </w:r>
    </w:p>
    <w:p w14:paraId="5CDC877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按本工程监理合同约定内容，涉及工程变更（含设计变更等参建各方变更）均需报发包人审批后生效</w:t>
      </w:r>
      <w:r>
        <w:rPr>
          <w:rFonts w:hint="eastAsia" w:ascii="宋体" w:hAnsi="宋体" w:eastAsia="宋体" w:cs="宋体"/>
          <w:color w:val="auto"/>
          <w:sz w:val="21"/>
          <w:szCs w:val="21"/>
          <w:highlight w:val="none"/>
        </w:rPr>
        <w:t xml:space="preserve">。 </w:t>
      </w:r>
    </w:p>
    <w:p w14:paraId="4C0984A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向监理人提供施工现场办公室各1间免费使用，并提供必要的办公桌椅及配套的通信网络</w:t>
      </w:r>
      <w:r>
        <w:rPr>
          <w:rFonts w:hint="eastAsia" w:ascii="宋体" w:hAnsi="宋体" w:eastAsia="宋体" w:cs="宋体"/>
          <w:color w:val="auto"/>
          <w:sz w:val="21"/>
          <w:szCs w:val="21"/>
          <w:highlight w:val="none"/>
        </w:rPr>
        <w:t>。</w:t>
      </w:r>
    </w:p>
    <w:p w14:paraId="74A84F5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监理人员</w:t>
      </w:r>
    </w:p>
    <w:p w14:paraId="52C8C6F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总监理工程师：以发包人与监理人签订的监理合同约定为准，如有变更，以发包人书面通知为准。</w:t>
      </w:r>
    </w:p>
    <w:p w14:paraId="0FCCB14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4.3关于监理人的其他约定：</w:t>
      </w:r>
    </w:p>
    <w:p w14:paraId="071DD838">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（1）监理人授权超出合同约定，承包人有权提出异议，如监理人对于承包人合理的异议不予接受，则承包人可要求发包人就该事项作出处理决定；</w:t>
      </w:r>
    </w:p>
    <w:p w14:paraId="62DC99B4">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（2）对于监理人更换其委派的监理人员的，监理人在征得发包人同意后应当提前48小时书面通知承包人；</w:t>
      </w:r>
    </w:p>
    <w:p w14:paraId="367B553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（3）监理人对其监理人员的任何授权，承包人均应当要求监理人提供书面的授权，否则，承包人有权拒绝接受监理人员的指示</w:t>
      </w:r>
      <w:r>
        <w:rPr>
          <w:rFonts w:hint="eastAsia" w:ascii="宋体" w:hAnsi="宋体" w:eastAsia="宋体" w:cs="宋体"/>
          <w:color w:val="auto"/>
          <w:sz w:val="21"/>
          <w:szCs w:val="21"/>
          <w:highlight w:val="none"/>
        </w:rPr>
        <w:t>。</w:t>
      </w:r>
    </w:p>
    <w:p w14:paraId="7103414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商定或确定</w:t>
      </w:r>
    </w:p>
    <w:p w14:paraId="75848B8D">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bookmarkStart w:id="237"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bookmarkStart w:id="238" w:name="_Toc351203637"/>
      <w:r>
        <w:rPr>
          <w:rFonts w:hint="eastAsia" w:ascii="宋体" w:hAnsi="宋体" w:eastAsia="宋体" w:cs="宋体"/>
          <w:color w:val="auto"/>
          <w:sz w:val="21"/>
          <w:szCs w:val="21"/>
          <w:highlight w:val="none"/>
          <w:u w:val="single"/>
        </w:rPr>
        <w:t>（1）无价材料、设备的价格确定；（2）清单特征描述不清；（3）/。</w:t>
      </w:r>
    </w:p>
    <w:p w14:paraId="5500841C">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End w:id="237"/>
      <w:bookmarkStart w:id="239" w:name="_Toc297120463"/>
      <w:bookmarkStart w:id="240" w:name="_Toc296347162"/>
      <w:bookmarkStart w:id="241" w:name="_Toc296890991"/>
      <w:bookmarkStart w:id="242" w:name="_Toc296944502"/>
      <w:bookmarkStart w:id="243" w:name="_Toc296346664"/>
      <w:bookmarkStart w:id="244" w:name="_Toc296891203"/>
      <w:bookmarkStart w:id="245" w:name="_Toc296503163"/>
      <w:bookmarkStart w:id="246" w:name="_Toc292559872"/>
      <w:bookmarkStart w:id="247" w:name="_Toc292559367"/>
      <w:bookmarkStart w:id="248" w:name="_Toc297048349"/>
      <w:r>
        <w:rPr>
          <w:rFonts w:hint="eastAsia" w:ascii="宋体" w:hAnsi="宋体" w:eastAsia="宋体" w:cs="宋体"/>
          <w:color w:val="auto"/>
          <w:sz w:val="21"/>
          <w:szCs w:val="21"/>
          <w:highlight w:val="none"/>
        </w:rPr>
        <w:t>. 工程质量</w:t>
      </w:r>
      <w:bookmarkEnd w:id="238"/>
    </w:p>
    <w:p w14:paraId="27C013C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质量要求</w:t>
      </w:r>
    </w:p>
    <w:p w14:paraId="5019EC0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Start w:id="249" w:name="_Toc312677997"/>
      <w:bookmarkStart w:id="250" w:name="_Toc297123496"/>
      <w:bookmarkStart w:id="251" w:name="_Toc300934949"/>
      <w:bookmarkStart w:id="252" w:name="_Toc303539106"/>
      <w:bookmarkStart w:id="253" w:name="_Toc297216155"/>
      <w:bookmarkStart w:id="254" w:name="_Toc304295527"/>
      <w:bookmarkStart w:id="255"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除通用条款约定外，要达到设计及国家、地方现行的有关规范和标准的质量要求，并最终一次性验收合格。</w:t>
      </w:r>
    </w:p>
    <w:p w14:paraId="31CBD14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 xml:space="preserve">              /           。</w:t>
      </w:r>
    </w:p>
    <w:p w14:paraId="5080B70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2FD3D5F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14:paraId="5CE2B79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538BF3C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小时。由此导致工期延误的，工期予以顺延。</w:t>
      </w:r>
    </w:p>
    <w:p w14:paraId="633BB6AA">
      <w:pPr>
        <w:adjustRightInd w:val="0"/>
        <w:snapToGrid w:val="0"/>
        <w:spacing w:line="360" w:lineRule="exact"/>
        <w:ind w:firstLine="422" w:firstLineChars="20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隐蔽工程验收过程、验收部位除办理纸质验收记录，还应留置验收部位、验收过程、主要验收人员相片、影像等资料。</w:t>
      </w:r>
    </w:p>
    <w:p w14:paraId="7C253F00">
      <w:pPr>
        <w:pStyle w:val="8"/>
        <w:adjustRightInd w:val="0"/>
        <w:snapToGrid w:val="0"/>
        <w:spacing w:before="0" w:after="0" w:line="360" w:lineRule="exact"/>
        <w:ind w:firstLine="422" w:firstLineChars="200"/>
        <w:rPr>
          <w:rFonts w:hint="eastAsia" w:ascii="宋体" w:hAnsi="宋体" w:eastAsia="宋体" w:cs="宋体"/>
          <w:b w:val="0"/>
          <w:color w:val="auto"/>
          <w:sz w:val="21"/>
          <w:szCs w:val="21"/>
          <w:highlight w:val="none"/>
        </w:rPr>
      </w:pPr>
      <w:bookmarkStart w:id="256" w:name="_Toc351203638"/>
      <w:r>
        <w:rPr>
          <w:rFonts w:hint="eastAsia" w:ascii="宋体" w:hAnsi="宋体" w:eastAsia="宋体" w:cs="宋体"/>
          <w:color w:val="auto"/>
          <w:sz w:val="21"/>
          <w:szCs w:val="21"/>
          <w:highlight w:val="none"/>
        </w:rPr>
        <w:t>6. 安全文明施工与环境保护</w:t>
      </w:r>
      <w:bookmarkEnd w:id="256"/>
    </w:p>
    <w:p w14:paraId="4801325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6.1安全文明施工</w:t>
      </w:r>
    </w:p>
    <w:p w14:paraId="7DA42A8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 按《浙江省建筑施工安全标准化管理规定》（浙建建〔2012〕54号）及省、市建筑业、安全监督等相关主管部门发布的有关管理规定执行。</w:t>
      </w:r>
    </w:p>
    <w:p w14:paraId="78465899">
      <w:pPr>
        <w:tabs>
          <w:tab w:val="left" w:pos="482"/>
          <w:tab w:val="left" w:pos="2183"/>
          <w:tab w:val="left" w:pos="3884"/>
          <w:tab w:val="left" w:pos="5585"/>
        </w:tabs>
        <w:adjustRightInd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承包人在施工期间，应严格执行本市有关建设工程安全、文明施工的规定，由于管理不善引起政府有关部门罚款或责令停工整改等，其发生的费用或导致的损失应由承包人自行承担，在施工单位整改前发包人保留因此而缓付工程进度款的权利</w:t>
      </w:r>
      <w:r>
        <w:rPr>
          <w:rFonts w:hint="eastAsia" w:ascii="宋体" w:hAnsi="宋体" w:eastAsia="宋体" w:cs="宋体"/>
          <w:color w:val="auto"/>
          <w:sz w:val="21"/>
          <w:szCs w:val="21"/>
          <w:highlight w:val="none"/>
        </w:rPr>
        <w:t>。</w:t>
      </w:r>
    </w:p>
    <w:p w14:paraId="1A63547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承包人在施工过程中造成发包人或第三方人身、财产等损失的，由承包人承担赔偿责任</w:t>
      </w:r>
      <w:r>
        <w:rPr>
          <w:rFonts w:hint="eastAsia" w:ascii="宋体" w:hAnsi="宋体" w:eastAsia="宋体" w:cs="宋体"/>
          <w:color w:val="auto"/>
          <w:sz w:val="21"/>
          <w:szCs w:val="21"/>
          <w:highlight w:val="none"/>
        </w:rPr>
        <w:t>。</w:t>
      </w:r>
    </w:p>
    <w:p w14:paraId="611FDE4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14:paraId="093B23F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14:paraId="3D7412A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709FE94D">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按省、市发有关文明施工管理规定执行。</w:t>
      </w:r>
    </w:p>
    <w:p w14:paraId="6A54305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6.1.6 关于安全文明施工费支付比例和支付期限的约定：</w:t>
      </w:r>
    </w:p>
    <w:bookmarkEnd w:id="249"/>
    <w:bookmarkEnd w:id="250"/>
    <w:bookmarkEnd w:id="251"/>
    <w:bookmarkEnd w:id="252"/>
    <w:bookmarkEnd w:id="253"/>
    <w:bookmarkEnd w:id="254"/>
    <w:bookmarkEnd w:id="255"/>
    <w:p w14:paraId="1BE1BD4D">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bookmarkStart w:id="257" w:name="_Toc351203639"/>
      <w:r>
        <w:rPr>
          <w:rFonts w:hint="eastAsia" w:ascii="宋体" w:hAnsi="宋体" w:eastAsia="宋体" w:cs="宋体"/>
          <w:color w:val="auto"/>
          <w:sz w:val="21"/>
          <w:szCs w:val="21"/>
          <w:highlight w:val="none"/>
          <w:u w:val="single"/>
        </w:rPr>
        <w:t>安全文明施工费预付费用包含在工程预付款内，与工程预付款一并支付，支付比例为安全文明施工费（不含创标化工地增加费）总额的100%；安全文明施工费承包人应专款专用，在财务账目中应单独列项。</w:t>
      </w:r>
    </w:p>
    <w:p w14:paraId="37C9E07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安全文明施工基本费包含在签约合同价内。承包人经发包人同意采取合同以外的安全措施所产生的费用，由发、承包人协商处理；未经发包人同意，发包人可不承担由此增加费用</w:t>
      </w:r>
      <w:r>
        <w:rPr>
          <w:rFonts w:hint="eastAsia" w:ascii="宋体" w:hAnsi="宋体" w:eastAsia="宋体" w:cs="宋体"/>
          <w:color w:val="auto"/>
          <w:sz w:val="21"/>
          <w:szCs w:val="21"/>
          <w:highlight w:val="none"/>
        </w:rPr>
        <w:t>。</w:t>
      </w:r>
    </w:p>
    <w:p w14:paraId="705F786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实际施工时，未达到施工安全文明的有关规定的，在结算时发包人可扣减施工组织措施项目费中的相应费用。</w:t>
      </w:r>
    </w:p>
    <w:p w14:paraId="4749FFFD">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工期和进度</w:t>
      </w:r>
      <w:bookmarkEnd w:id="257"/>
    </w:p>
    <w:p w14:paraId="5FD8ED9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施工组织设计</w:t>
      </w:r>
    </w:p>
    <w:p w14:paraId="22A92189">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对特殊工艺施工、危险性较大分部分项工程施工，应按规定办理审批手续和按当地建设行政主管部门要求组织专家论证。专家论证所需专家费用由承包人承担</w:t>
      </w:r>
      <w:r>
        <w:rPr>
          <w:rFonts w:hint="eastAsia" w:ascii="宋体" w:hAnsi="宋体" w:eastAsia="宋体" w:cs="宋体"/>
          <w:color w:val="auto"/>
          <w:sz w:val="21"/>
          <w:szCs w:val="21"/>
          <w:highlight w:val="none"/>
        </w:rPr>
        <w:t>。</w:t>
      </w:r>
    </w:p>
    <w:p w14:paraId="26FC2732">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监理人、发包人对施工组织设计、专项施工方案的批准，仅表示对施工技术方案的认可；如构成工程变更或者涉及工程价款调整的，承包人应在提交的审批表中载明，并同时提交工程造价估价文件，经监理人、发包人审批后方可作为结算依据，否则由此带来的造价增加由承包人承担。</w:t>
      </w:r>
    </w:p>
    <w:p w14:paraId="6089198A">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1D86822E">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接到开工通知后7天内，专项施工方案在相应部位施工前7天。发包人对承包人的施工组织设计（或方案）提出质疑和合理修正时，承包人应7天内提供修正完成并重新提交；每月20日前向发包方提交下一月进度计划和施工方案</w:t>
      </w:r>
      <w:r>
        <w:rPr>
          <w:rFonts w:hint="eastAsia" w:ascii="宋体" w:hAnsi="宋体" w:eastAsia="宋体" w:cs="宋体"/>
          <w:color w:val="auto"/>
          <w:sz w:val="21"/>
          <w:szCs w:val="21"/>
          <w:highlight w:val="none"/>
        </w:rPr>
        <w:t>。</w:t>
      </w:r>
    </w:p>
    <w:p w14:paraId="70AE3DD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收到相应文件后7天内。</w:t>
      </w:r>
    </w:p>
    <w:p w14:paraId="5A1077F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58" w:name="_Toc304295541"/>
      <w:bookmarkStart w:id="259" w:name="_Toc297123514"/>
      <w:bookmarkStart w:id="260" w:name="_Toc303539123"/>
      <w:bookmarkStart w:id="261" w:name="_Toc300934966"/>
      <w:bookmarkStart w:id="262" w:name="_Toc297216173"/>
      <w:bookmarkStart w:id="263" w:name="_Toc312678005"/>
      <w:bookmarkStart w:id="264" w:name="_Toc312677479"/>
      <w:r>
        <w:rPr>
          <w:rFonts w:hint="eastAsia" w:ascii="宋体" w:hAnsi="宋体" w:eastAsia="宋体" w:cs="宋体"/>
          <w:color w:val="auto"/>
          <w:sz w:val="21"/>
          <w:szCs w:val="21"/>
          <w:highlight w:val="none"/>
        </w:rPr>
        <w:t>.2 施工进度计划</w:t>
      </w:r>
    </w:p>
    <w:p w14:paraId="5CB58A2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5E46244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收到相应文件后7天内</w:t>
      </w:r>
      <w:r>
        <w:rPr>
          <w:rFonts w:hint="eastAsia" w:ascii="宋体" w:hAnsi="宋体" w:eastAsia="宋体" w:cs="宋体"/>
          <w:color w:val="auto"/>
          <w:sz w:val="21"/>
          <w:szCs w:val="21"/>
          <w:highlight w:val="none"/>
        </w:rPr>
        <w:t>。</w:t>
      </w:r>
    </w:p>
    <w:p w14:paraId="14AFA4E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开工</w:t>
      </w:r>
    </w:p>
    <w:p w14:paraId="34C2F86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297635E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接到开工通知后7天内</w:t>
      </w:r>
      <w:r>
        <w:rPr>
          <w:rFonts w:hint="eastAsia" w:ascii="宋体" w:hAnsi="宋体" w:eastAsia="宋体" w:cs="宋体"/>
          <w:color w:val="auto"/>
          <w:sz w:val="21"/>
          <w:szCs w:val="21"/>
          <w:highlight w:val="none"/>
        </w:rPr>
        <w:t>。</w:t>
      </w:r>
    </w:p>
    <w:p w14:paraId="35A5DBB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开工前7天</w:t>
      </w:r>
      <w:r>
        <w:rPr>
          <w:rFonts w:hint="eastAsia" w:ascii="宋体" w:hAnsi="宋体" w:eastAsia="宋体" w:cs="宋体"/>
          <w:color w:val="auto"/>
          <w:sz w:val="21"/>
          <w:szCs w:val="21"/>
          <w:highlight w:val="none"/>
        </w:rPr>
        <w:t>。</w:t>
      </w:r>
    </w:p>
    <w:p w14:paraId="68B227B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开工前</w:t>
      </w:r>
      <w:r>
        <w:rPr>
          <w:rFonts w:hint="eastAsia" w:ascii="宋体" w:hAnsi="宋体" w:eastAsia="宋体" w:cs="宋体"/>
          <w:color w:val="auto"/>
          <w:sz w:val="21"/>
          <w:szCs w:val="21"/>
          <w:highlight w:val="none"/>
        </w:rPr>
        <w:t>。</w:t>
      </w:r>
    </w:p>
    <w:p w14:paraId="53C59CB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14:paraId="4A57C99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发包人（或监理人）在计划开工日期前7天向承包人发出开工通知，工期自开工通知中载明的开工日期起算。</w:t>
      </w:r>
    </w:p>
    <w:p w14:paraId="5A68D5B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天内发出开工通知的，承包人有权提出价格调整要求，或者解除合同。发包人应当承担由此增加的费用或赔偿承包人的损失。</w:t>
      </w:r>
    </w:p>
    <w:bookmarkEnd w:id="258"/>
    <w:bookmarkEnd w:id="259"/>
    <w:bookmarkEnd w:id="260"/>
    <w:bookmarkEnd w:id="261"/>
    <w:bookmarkEnd w:id="262"/>
    <w:bookmarkEnd w:id="263"/>
    <w:bookmarkEnd w:id="264"/>
    <w:p w14:paraId="6267853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测量放线</w:t>
      </w:r>
    </w:p>
    <w:p w14:paraId="57861C6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sz w:val="21"/>
          <w:szCs w:val="21"/>
          <w:highlight w:val="none"/>
          <w:u w:val="single"/>
        </w:rPr>
        <w:t>按合同通用条款执行。</w:t>
      </w:r>
    </w:p>
    <w:p w14:paraId="73D31D1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65" w:name="_Toc312677484"/>
      <w:bookmarkStart w:id="266" w:name="_Toc312678010"/>
      <w:bookmarkStart w:id="267" w:name="_Toc303539125"/>
      <w:bookmarkStart w:id="268" w:name="_Toc300934968"/>
      <w:bookmarkStart w:id="269" w:name="_Toc297123516"/>
      <w:bookmarkStart w:id="270" w:name="_Toc297216175"/>
      <w:bookmarkStart w:id="271" w:name="_Toc304295546"/>
      <w:r>
        <w:rPr>
          <w:rFonts w:hint="eastAsia" w:ascii="宋体" w:hAnsi="宋体" w:eastAsia="宋体" w:cs="宋体"/>
          <w:color w:val="auto"/>
          <w:sz w:val="21"/>
          <w:szCs w:val="21"/>
          <w:highlight w:val="none"/>
        </w:rPr>
        <w:t>.5 工期延误</w:t>
      </w:r>
    </w:p>
    <w:bookmarkEnd w:id="265"/>
    <w:bookmarkEnd w:id="266"/>
    <w:bookmarkEnd w:id="267"/>
    <w:bookmarkEnd w:id="268"/>
    <w:bookmarkEnd w:id="269"/>
    <w:bookmarkEnd w:id="270"/>
    <w:bookmarkEnd w:id="271"/>
    <w:p w14:paraId="7FC2EAC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6A973DF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①重大设计变更；②因政策处理不完善导致无法施工；③由于配合政府单位要求检查、活动等引起的停工（承包人必须且有义务留存政府单位下达要求的正式文件）</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因上述原因造成工程全面停工产生的损失，除合理的人工、机械窝工费用以外，不得要求任何费用补偿。</w:t>
      </w:r>
    </w:p>
    <w:p w14:paraId="3FC5400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72" w:name="_Toc312678012"/>
      <w:bookmarkStart w:id="273" w:name="_Toc318581169"/>
      <w:bookmarkStart w:id="274" w:name="_Toc312677486"/>
      <w:bookmarkStart w:id="275" w:name="_Toc297123518"/>
      <w:bookmarkStart w:id="276" w:name="_Toc303539127"/>
      <w:bookmarkStart w:id="277" w:name="_Toc304295548"/>
      <w:bookmarkStart w:id="278" w:name="_Toc300934970"/>
      <w:bookmarkStart w:id="279" w:name="_Toc297216177"/>
      <w:r>
        <w:rPr>
          <w:rFonts w:hint="eastAsia" w:ascii="宋体" w:hAnsi="宋体" w:eastAsia="宋体" w:cs="宋体"/>
          <w:color w:val="auto"/>
          <w:sz w:val="21"/>
          <w:szCs w:val="21"/>
          <w:highlight w:val="none"/>
        </w:rPr>
        <w:t>.5.2 因承包人原因导致工期延误</w:t>
      </w:r>
    </w:p>
    <w:bookmarkEnd w:id="272"/>
    <w:bookmarkEnd w:id="273"/>
    <w:bookmarkEnd w:id="274"/>
    <w:p w14:paraId="1B79416B">
      <w:pPr>
        <w:adjustRightInd w:val="0"/>
        <w:snapToGrid w:val="0"/>
        <w:spacing w:line="360" w:lineRule="exact"/>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因</w:t>
      </w:r>
      <w:bookmarkStart w:id="280" w:name="_Toc312677487"/>
      <w:bookmarkStart w:id="281" w:name="_Toc312678013"/>
      <w:bookmarkStart w:id="282" w:name="_Toc318581170"/>
      <w:r>
        <w:rPr>
          <w:rFonts w:hint="eastAsia" w:ascii="宋体" w:hAnsi="宋体" w:eastAsia="宋体" w:cs="宋体"/>
          <w:color w:val="auto"/>
          <w:sz w:val="21"/>
          <w:szCs w:val="21"/>
          <w:highlight w:val="none"/>
        </w:rPr>
        <w:t>承包人原因造成工期延误，逾期竣工违约金的计算方法为：</w:t>
      </w:r>
      <w:bookmarkEnd w:id="275"/>
      <w:bookmarkEnd w:id="276"/>
      <w:bookmarkEnd w:id="277"/>
      <w:bookmarkEnd w:id="278"/>
      <w:bookmarkEnd w:id="279"/>
      <w:bookmarkEnd w:id="280"/>
      <w:bookmarkEnd w:id="281"/>
      <w:r>
        <w:rPr>
          <w:rFonts w:hint="eastAsia" w:ascii="宋体" w:hAnsi="宋体" w:eastAsia="宋体" w:cs="宋体"/>
          <w:color w:val="auto"/>
          <w:sz w:val="21"/>
          <w:szCs w:val="21"/>
          <w:highlight w:val="none"/>
          <w:u w:val="single"/>
        </w:rPr>
        <w:t>承包人应在合同约定的时间内竣工（经监理审核属合理工期索赔延期的除外），每延误一天的误期赔偿费人民</w:t>
      </w:r>
      <w:r>
        <w:rPr>
          <w:rFonts w:hint="eastAsia" w:ascii="宋体" w:hAnsi="宋体" w:eastAsia="宋体" w:cs="宋体"/>
          <w:color w:val="auto"/>
          <w:sz w:val="21"/>
          <w:szCs w:val="21"/>
          <w:highlight w:val="none"/>
          <w:u w:val="single"/>
        </w:rPr>
        <w:t>币</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w:t>
      </w:r>
    </w:p>
    <w:bookmarkEnd w:id="282"/>
    <w:p w14:paraId="60F2688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w:t>
      </w:r>
      <w:bookmarkStart w:id="283" w:name="_Toc318581171"/>
      <w:bookmarkStart w:id="284" w:name="_Toc312678014"/>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履约保证金额度，对发包人造成损失超过违约金的，除承担违约金外同时赔偿发包人损失</w:t>
      </w:r>
      <w:r>
        <w:rPr>
          <w:rFonts w:hint="eastAsia" w:ascii="宋体" w:hAnsi="宋体" w:eastAsia="宋体" w:cs="宋体"/>
          <w:color w:val="auto"/>
          <w:sz w:val="21"/>
          <w:szCs w:val="21"/>
          <w:highlight w:val="none"/>
        </w:rPr>
        <w:t>。</w:t>
      </w:r>
    </w:p>
    <w:bookmarkEnd w:id="283"/>
    <w:bookmarkEnd w:id="284"/>
    <w:p w14:paraId="7CFECBF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85" w:name="_Toc304295549"/>
      <w:bookmarkStart w:id="286" w:name="_Toc312678015"/>
      <w:bookmarkStart w:id="287" w:name="_Toc303539128"/>
      <w:bookmarkStart w:id="288" w:name="_Toc300934971"/>
      <w:bookmarkStart w:id="289" w:name="_Toc297216178"/>
      <w:bookmarkStart w:id="290" w:name="_Toc297123519"/>
      <w:r>
        <w:rPr>
          <w:rFonts w:hint="eastAsia" w:ascii="宋体" w:hAnsi="宋体" w:eastAsia="宋体" w:cs="宋体"/>
          <w:color w:val="auto"/>
          <w:sz w:val="21"/>
          <w:szCs w:val="21"/>
          <w:highlight w:val="none"/>
        </w:rPr>
        <w:t>.6 不</w:t>
      </w:r>
      <w:bookmarkEnd w:id="285"/>
      <w:bookmarkEnd w:id="286"/>
      <w:bookmarkEnd w:id="287"/>
      <w:bookmarkEnd w:id="288"/>
      <w:bookmarkEnd w:id="289"/>
      <w:bookmarkEnd w:id="290"/>
      <w:r>
        <w:rPr>
          <w:rFonts w:hint="eastAsia" w:ascii="宋体" w:hAnsi="宋体" w:eastAsia="宋体" w:cs="宋体"/>
          <w:color w:val="auto"/>
          <w:sz w:val="21"/>
          <w:szCs w:val="21"/>
          <w:highlight w:val="none"/>
        </w:rPr>
        <w:t>利物质条件</w:t>
      </w:r>
    </w:p>
    <w:p w14:paraId="7E7F9B3A">
      <w:pPr>
        <w:adjustRightInd w:val="0"/>
        <w:snapToGrid w:val="0"/>
        <w:spacing w:line="360" w:lineRule="exact"/>
        <w:ind w:firstLine="420" w:firstLineChars="200"/>
        <w:jc w:val="left"/>
        <w:rPr>
          <w:rFonts w:hint="eastAsia" w:ascii="宋体" w:hAnsi="宋体" w:eastAsia="宋体" w:cs="宋体"/>
          <w:color w:val="auto"/>
          <w:sz w:val="21"/>
          <w:szCs w:val="21"/>
          <w:highlight w:val="none"/>
        </w:rPr>
      </w:pPr>
      <w:bookmarkStart w:id="291" w:name="_Toc303539129"/>
      <w:bookmarkStart w:id="292" w:name="_Toc300934972"/>
      <w:bookmarkStart w:id="293" w:name="_Toc304295550"/>
      <w:bookmarkStart w:id="294" w:name="_Toc312678016"/>
      <w:bookmarkStart w:id="295" w:name="_Toc297123520"/>
      <w:bookmarkStart w:id="296" w:name="_Toc297216179"/>
      <w:bookmarkStart w:id="297" w:name="_Toc318581172"/>
      <w:r>
        <w:rPr>
          <w:rFonts w:hint="eastAsia" w:ascii="宋体" w:hAnsi="宋体" w:eastAsia="宋体" w:cs="宋体"/>
          <w:color w:val="auto"/>
          <w:sz w:val="21"/>
          <w:szCs w:val="21"/>
          <w:highlight w:val="none"/>
        </w:rPr>
        <w:t>不利物质条件的其他情形和有关约定：</w:t>
      </w:r>
    </w:p>
    <w:p w14:paraId="376B611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每天连续停水、停电超过8小时以上。</w:t>
      </w:r>
    </w:p>
    <w:p w14:paraId="0AE6BF5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因政府行政命令（因承包人原因的除外）。</w:t>
      </w:r>
    </w:p>
    <w:p w14:paraId="66C1BBC2">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非因双方原因而无法控制的爆炸、火灾等事件。</w:t>
      </w:r>
    </w:p>
    <w:p w14:paraId="5B7D24F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施工场地周围地下管线保护，地下障碍物和污染物排除，邻近建筑物、构筑物的保护要求。</w:t>
      </w:r>
    </w:p>
    <w:p w14:paraId="152BD63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地质勘探资料未涉及的地下管道、暗沟、岩层等。</w:t>
      </w:r>
    </w:p>
    <w:bookmarkEnd w:id="291"/>
    <w:bookmarkEnd w:id="292"/>
    <w:bookmarkEnd w:id="293"/>
    <w:bookmarkEnd w:id="294"/>
    <w:bookmarkEnd w:id="295"/>
    <w:bookmarkEnd w:id="296"/>
    <w:bookmarkEnd w:id="297"/>
    <w:p w14:paraId="5DF1EF0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承包人为克服不利物质条件，所采取合理措施而增加的费用和延误的工期由发包人承担；承包人虽然采取了合理的措施，但不利物质发生后，仍导致了工程现场损失，则参照通用合同条款17.3条处理，同时承包人因此增加的费用应自行承担。</w:t>
      </w:r>
    </w:p>
    <w:p w14:paraId="01541CC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98" w:name="_Toc297216180"/>
      <w:bookmarkStart w:id="299" w:name="_Toc312678017"/>
      <w:bookmarkStart w:id="300" w:name="_Toc297123521"/>
      <w:bookmarkStart w:id="301" w:name="_Toc300934973"/>
      <w:bookmarkStart w:id="302" w:name="_Toc304295551"/>
      <w:bookmarkStart w:id="303" w:name="_Toc303539130"/>
      <w:r>
        <w:rPr>
          <w:rFonts w:hint="eastAsia" w:ascii="宋体" w:hAnsi="宋体" w:eastAsia="宋体" w:cs="宋体"/>
          <w:color w:val="auto"/>
          <w:sz w:val="21"/>
          <w:szCs w:val="21"/>
          <w:highlight w:val="none"/>
        </w:rPr>
        <w:t>.7异常恶劣的气候条件</w:t>
      </w:r>
    </w:p>
    <w:bookmarkEnd w:id="298"/>
    <w:bookmarkEnd w:id="299"/>
    <w:bookmarkEnd w:id="300"/>
    <w:bookmarkEnd w:id="301"/>
    <w:bookmarkEnd w:id="302"/>
    <w:bookmarkEnd w:id="303"/>
    <w:p w14:paraId="235BB92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57D2288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8-10级（含10级）持续24小时的大风（台风）</w:t>
      </w:r>
      <w:r>
        <w:rPr>
          <w:rFonts w:hint="eastAsia" w:ascii="宋体" w:hAnsi="宋体" w:eastAsia="宋体" w:cs="宋体"/>
          <w:color w:val="auto"/>
          <w:sz w:val="21"/>
          <w:szCs w:val="21"/>
          <w:highlight w:val="none"/>
        </w:rPr>
        <w:t>；</w:t>
      </w:r>
    </w:p>
    <w:p w14:paraId="4A908CC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24小时内持续降雨且降水量为200mm以上</w:t>
      </w:r>
      <w:r>
        <w:rPr>
          <w:rFonts w:hint="eastAsia" w:ascii="宋体" w:hAnsi="宋体" w:eastAsia="宋体" w:cs="宋体"/>
          <w:color w:val="auto"/>
          <w:sz w:val="21"/>
          <w:szCs w:val="21"/>
          <w:highlight w:val="none"/>
        </w:rPr>
        <w:t>；</w:t>
      </w:r>
    </w:p>
    <w:p w14:paraId="5468907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40摄氏度及以上且持续2天以上的高温天气</w:t>
      </w:r>
      <w:r>
        <w:rPr>
          <w:rFonts w:hint="eastAsia" w:ascii="宋体" w:hAnsi="宋体" w:eastAsia="宋体" w:cs="宋体"/>
          <w:color w:val="auto"/>
          <w:sz w:val="21"/>
          <w:szCs w:val="21"/>
          <w:highlight w:val="none"/>
        </w:rPr>
        <w:t>。</w:t>
      </w:r>
    </w:p>
    <w:p w14:paraId="24ECC69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为克服异常恶劣的气候条件，所采取合理措施而增加的费用和延误的工期由发包人承担；承包人虽然采取了合理的措施，但异常恶劣的气候条件发生后，仍导致了工程现场损失，则参照通用合同条款17.3处理，同时承包人因此增加的费用应自行承担。</w:t>
      </w:r>
    </w:p>
    <w:p w14:paraId="55D04BC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 提前竣工的奖励</w:t>
      </w:r>
    </w:p>
    <w:p w14:paraId="1710F03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  。</w:t>
      </w:r>
    </w:p>
    <w:p w14:paraId="49057236">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304" w:name="_Toc351203640"/>
      <w:r>
        <w:rPr>
          <w:rFonts w:hint="eastAsia" w:ascii="宋体" w:hAnsi="宋体" w:eastAsia="宋体" w:cs="宋体"/>
          <w:color w:val="auto"/>
          <w:sz w:val="21"/>
          <w:szCs w:val="21"/>
          <w:highlight w:val="none"/>
        </w:rPr>
        <w:t>8. 材料与设备</w:t>
      </w:r>
      <w:bookmarkEnd w:id="304"/>
    </w:p>
    <w:bookmarkEnd w:id="239"/>
    <w:bookmarkEnd w:id="240"/>
    <w:bookmarkEnd w:id="241"/>
    <w:bookmarkEnd w:id="242"/>
    <w:bookmarkEnd w:id="243"/>
    <w:bookmarkEnd w:id="244"/>
    <w:bookmarkEnd w:id="245"/>
    <w:bookmarkEnd w:id="246"/>
    <w:bookmarkEnd w:id="247"/>
    <w:bookmarkEnd w:id="248"/>
    <w:p w14:paraId="2942EAD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承包人采购材料与工程设备</w:t>
      </w:r>
    </w:p>
    <w:p w14:paraId="160C9AA8">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（1）材料品牌、规格和使用要求：按招标文件（相应）技术标准和要求执行。</w:t>
      </w:r>
    </w:p>
    <w:p w14:paraId="616A1943">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（2）本工程已确定承包价的建筑材料由承包人自行采购、运输和保管。因施工单位自身原因导致工期延误期间的材料价格上涨由施工单位自行负责。</w:t>
      </w:r>
    </w:p>
    <w:p w14:paraId="2BBBB435">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（3）本工程要求使用材料要求（如商品砼、商品砂浆、保温节能材料等）。</w:t>
      </w:r>
    </w:p>
    <w:p w14:paraId="2627B7C9">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（4）所有材料必须有质保书或合格证，符合施工图纸和规范要求，且品牌、产地需报发包人备案，否则，因此产生的后果均由承包人承担。</w:t>
      </w:r>
    </w:p>
    <w:p w14:paraId="2E2D2462">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凡是招标文件注明规格、型号或相当于的厂家（品牌、产地）的材料，承包人必须按照招标文件要求采购和施工，优先使用相当于的厂家（品牌、产地），如需调整，必须经得发包人认可，否则由此引起的后果由承包人承担。</w:t>
      </w:r>
    </w:p>
    <w:p w14:paraId="504273CD">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（6）所有设备、材料和预制构件等均需有产品合格证和质保书、试验（试车）报告等必要资料，符合国家规定的技术标准和设计图纸要求的标准，并且须经发包人及监理单位验收合格后方可使用。</w:t>
      </w:r>
    </w:p>
    <w:p w14:paraId="1A006B8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（7）根据工程需要，发包人有权对承包人投标时确认的品牌进行更换，更换后的材料价格由发包人签证进行结算。</w:t>
      </w:r>
    </w:p>
    <w:p w14:paraId="2CC6AF1C">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（8）合同中原暂定价材料或由工程变更产生的无价材料（按有关规定可不组织招标采购的）由承包人采购时，应由发包人签证确定价格后采购，发包人收到承包人价格确定申请后，7日内审批完毕。</w:t>
      </w:r>
    </w:p>
    <w:p w14:paraId="52657FD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305" w:name="_Toc297216186"/>
      <w:bookmarkStart w:id="306" w:name="_Toc297123527"/>
      <w:bookmarkStart w:id="307" w:name="_Toc292559877"/>
      <w:bookmarkStart w:id="308" w:name="_Toc292559372"/>
      <w:bookmarkStart w:id="309" w:name="_Toc296890995"/>
      <w:bookmarkStart w:id="310" w:name="_Toc297048353"/>
      <w:bookmarkStart w:id="311" w:name="_Toc296891207"/>
      <w:bookmarkStart w:id="312" w:name="_Toc280868654"/>
      <w:bookmarkStart w:id="313" w:name="_Toc296944506"/>
      <w:bookmarkStart w:id="314" w:name="_Toc312677493"/>
      <w:bookmarkStart w:id="315" w:name="_Toc296503167"/>
      <w:bookmarkStart w:id="316" w:name="_Toc300934979"/>
      <w:bookmarkStart w:id="317" w:name="_Toc297120467"/>
      <w:bookmarkStart w:id="318" w:name="_Toc304295556"/>
      <w:bookmarkStart w:id="319" w:name="_Toc296346668"/>
      <w:bookmarkStart w:id="320" w:name="_Toc312678019"/>
      <w:bookmarkStart w:id="321" w:name="_Toc303539136"/>
      <w:bookmarkStart w:id="322" w:name="_Toc296347166"/>
      <w:bookmarkStart w:id="323" w:name="_Toc280868655"/>
      <w:bookmarkStart w:id="324" w:name="_Toc267251424"/>
      <w:bookmarkStart w:id="325" w:name="_Toc280868656"/>
      <w:r>
        <w:rPr>
          <w:rFonts w:hint="eastAsia" w:ascii="宋体" w:hAnsi="宋体" w:eastAsia="宋体" w:cs="宋体"/>
          <w:color w:val="auto"/>
          <w:sz w:val="21"/>
          <w:szCs w:val="21"/>
          <w:highlight w:val="none"/>
        </w:rPr>
        <w:t>.4材料与工程设备的保管与使用</w:t>
      </w:r>
    </w:p>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14:paraId="756AD8F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326" w:name="_Toc292559373"/>
      <w:bookmarkStart w:id="327" w:name="_Toc292559878"/>
      <w:bookmarkStart w:id="328" w:name="_Toc303539137"/>
      <w:bookmarkStart w:id="329" w:name="_Toc318581173"/>
      <w:bookmarkStart w:id="330" w:name="_Toc297216187"/>
      <w:bookmarkStart w:id="331" w:name="_Toc296503168"/>
      <w:bookmarkStart w:id="332" w:name="_Toc296347167"/>
      <w:bookmarkStart w:id="333" w:name="_Toc304295557"/>
      <w:bookmarkStart w:id="334" w:name="_Toc300934980"/>
      <w:bookmarkStart w:id="335" w:name="_Toc297048354"/>
      <w:bookmarkStart w:id="336" w:name="_Toc296944507"/>
      <w:bookmarkStart w:id="337" w:name="_Toc297120468"/>
      <w:bookmarkStart w:id="338" w:name="_Toc297123528"/>
      <w:bookmarkStart w:id="339" w:name="_Toc296346669"/>
      <w:bookmarkStart w:id="340" w:name="_Toc296890996"/>
      <w:bookmarkStart w:id="341" w:name="_Toc296891208"/>
      <w:bookmarkStart w:id="342" w:name="_Toc312678020"/>
      <w:bookmarkStart w:id="343" w:name="_Toc312677494"/>
      <w:r>
        <w:rPr>
          <w:rFonts w:hint="eastAsia" w:ascii="宋体" w:hAnsi="宋体" w:eastAsia="宋体" w:cs="宋体"/>
          <w:color w:val="auto"/>
          <w:sz w:val="21"/>
          <w:szCs w:val="21"/>
          <w:highlight w:val="none"/>
        </w:rPr>
        <w:t>.4.1发包人供应的材料设备的保管费用的承担：</w:t>
      </w:r>
      <w:r>
        <w:rPr>
          <w:rFonts w:hint="eastAsia" w:ascii="宋体" w:hAnsi="宋体" w:eastAsia="宋体" w:cs="宋体"/>
          <w:color w:val="auto"/>
          <w:sz w:val="21"/>
          <w:szCs w:val="21"/>
          <w:highlight w:val="none"/>
          <w:u w:val="single"/>
        </w:rPr>
        <w:t>由承包人在投标报价时综合考虑，并已包含在合同价内，不再另行计取。</w:t>
      </w:r>
      <w:bookmarkEnd w:id="326"/>
      <w:bookmarkEnd w:id="327"/>
    </w:p>
    <w:p w14:paraId="6139F58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 样品</w:t>
      </w:r>
    </w:p>
    <w:p w14:paraId="6FC77E53">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8.6.1样品的报送与封存</w:t>
      </w:r>
    </w:p>
    <w:p w14:paraId="305047A5">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承包人须按发包人要求提供样品，样品的报送与封存按合同通用条款执行。样品费用包含在合同价内，不再另行计取，承包人综合考虑。</w:t>
      </w:r>
    </w:p>
    <w:p w14:paraId="40EA536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 施工设备和临时设施</w:t>
      </w:r>
    </w:p>
    <w:p w14:paraId="77F1893F">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32FDDF81">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sz w:val="21"/>
          <w:szCs w:val="21"/>
          <w:highlight w:val="none"/>
          <w:u w:val="single"/>
        </w:rPr>
        <w:t>由承包人承担。</w:t>
      </w: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14:paraId="45FC18DA">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344" w:name="_Toc351203641"/>
      <w:r>
        <w:rPr>
          <w:rFonts w:hint="eastAsia" w:ascii="宋体" w:hAnsi="宋体" w:eastAsia="宋体" w:cs="宋体"/>
          <w:color w:val="auto"/>
          <w:sz w:val="21"/>
          <w:szCs w:val="21"/>
          <w:highlight w:val="none"/>
        </w:rPr>
        <w:t>9</w:t>
      </w:r>
      <w:bookmarkEnd w:id="323"/>
      <w:bookmarkEnd w:id="324"/>
      <w:bookmarkEnd w:id="325"/>
      <w:bookmarkStart w:id="345" w:name="_Toc312678021"/>
      <w:bookmarkStart w:id="346" w:name="_Toc300934982"/>
      <w:bookmarkStart w:id="347" w:name="_Toc297123533"/>
      <w:bookmarkStart w:id="348" w:name="_Toc312677495"/>
      <w:bookmarkStart w:id="349" w:name="_Toc304295559"/>
      <w:bookmarkStart w:id="350" w:name="_Toc303539139"/>
      <w:bookmarkStart w:id="351" w:name="_Toc297216192"/>
      <w:bookmarkStart w:id="352" w:name="_Toc267251428"/>
      <w:bookmarkStart w:id="353" w:name="_Toc296944512"/>
      <w:bookmarkStart w:id="354" w:name="_Toc296346674"/>
      <w:bookmarkStart w:id="355" w:name="_Toc297048359"/>
      <w:bookmarkStart w:id="356" w:name="_Toc296891213"/>
      <w:bookmarkStart w:id="357" w:name="_Toc292559378"/>
      <w:bookmarkStart w:id="358" w:name="_Toc296891001"/>
      <w:bookmarkStart w:id="359" w:name="_Toc297120473"/>
      <w:bookmarkStart w:id="360" w:name="_Toc267251427"/>
      <w:bookmarkStart w:id="361" w:name="_Toc296347172"/>
      <w:bookmarkStart w:id="362" w:name="_Toc292559883"/>
      <w:bookmarkStart w:id="363" w:name="_Toc296503173"/>
      <w:r>
        <w:rPr>
          <w:rFonts w:hint="eastAsia" w:ascii="宋体" w:hAnsi="宋体" w:eastAsia="宋体" w:cs="宋体"/>
          <w:color w:val="auto"/>
          <w:sz w:val="21"/>
          <w:szCs w:val="21"/>
          <w:highlight w:val="none"/>
        </w:rPr>
        <w:t>. 试验与检验</w:t>
      </w:r>
      <w:bookmarkEnd w:id="344"/>
    </w:p>
    <w:bookmarkEnd w:id="345"/>
    <w:bookmarkEnd w:id="346"/>
    <w:bookmarkEnd w:id="347"/>
    <w:bookmarkEnd w:id="348"/>
    <w:bookmarkEnd w:id="349"/>
    <w:bookmarkEnd w:id="350"/>
    <w:bookmarkEnd w:id="351"/>
    <w:p w14:paraId="7E7B4A4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364" w:name="_Toc297123534"/>
      <w:bookmarkStart w:id="365" w:name="_Toc300934983"/>
      <w:bookmarkStart w:id="366" w:name="_Toc297216193"/>
      <w:bookmarkStart w:id="367" w:name="_Toc304295560"/>
      <w:bookmarkStart w:id="368" w:name="_Toc312678022"/>
      <w:bookmarkStart w:id="369" w:name="_Toc303539140"/>
      <w:bookmarkStart w:id="370" w:name="_Toc312677496"/>
      <w:r>
        <w:rPr>
          <w:rFonts w:hint="eastAsia" w:ascii="宋体" w:hAnsi="宋体" w:eastAsia="宋体" w:cs="宋体"/>
          <w:color w:val="auto"/>
          <w:sz w:val="21"/>
          <w:szCs w:val="21"/>
          <w:highlight w:val="none"/>
        </w:rPr>
        <w:t>.1试验设备与试验人员</w:t>
      </w:r>
    </w:p>
    <w:bookmarkEnd w:id="364"/>
    <w:bookmarkEnd w:id="365"/>
    <w:bookmarkEnd w:id="366"/>
    <w:bookmarkEnd w:id="367"/>
    <w:bookmarkEnd w:id="368"/>
    <w:bookmarkEnd w:id="369"/>
    <w:bookmarkEnd w:id="370"/>
    <w:p w14:paraId="235466B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371" w:name="_Toc304295561"/>
      <w:bookmarkStart w:id="372" w:name="_Toc303539141"/>
      <w:bookmarkStart w:id="373" w:name="_Toc297216194"/>
      <w:bookmarkStart w:id="374" w:name="_Toc312677497"/>
      <w:bookmarkStart w:id="375" w:name="_Toc297123535"/>
      <w:bookmarkStart w:id="376" w:name="_Toc300934984"/>
      <w:bookmarkStart w:id="377" w:name="_Toc312678023"/>
      <w:bookmarkStart w:id="378" w:name="_Toc318581174"/>
      <w:r>
        <w:rPr>
          <w:rFonts w:hint="eastAsia" w:ascii="宋体" w:hAnsi="宋体" w:eastAsia="宋体" w:cs="宋体"/>
          <w:color w:val="auto"/>
          <w:sz w:val="21"/>
          <w:szCs w:val="21"/>
          <w:highlight w:val="none"/>
        </w:rPr>
        <w:t>.1.2 试验设备</w:t>
      </w:r>
    </w:p>
    <w:p w14:paraId="0FC01C94">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施工现场需要配置的试验场所：</w:t>
      </w:r>
      <w:bookmarkEnd w:id="371"/>
      <w:bookmarkEnd w:id="372"/>
      <w:bookmarkEnd w:id="373"/>
      <w:bookmarkEnd w:id="374"/>
      <w:bookmarkEnd w:id="375"/>
      <w:bookmarkEnd w:id="376"/>
      <w:bookmarkEnd w:id="377"/>
      <w:bookmarkStart w:id="379" w:name="_Toc304295562"/>
      <w:bookmarkStart w:id="380" w:name="_Toc312677498"/>
      <w:bookmarkStart w:id="381" w:name="_Toc297216195"/>
      <w:bookmarkStart w:id="382" w:name="_Toc312678024"/>
      <w:bookmarkStart w:id="383" w:name="_Toc300934985"/>
      <w:bookmarkStart w:id="384" w:name="_Toc297123536"/>
      <w:bookmarkStart w:id="385" w:name="_Toc303539142"/>
      <w:r>
        <w:rPr>
          <w:rFonts w:hint="eastAsia" w:ascii="宋体" w:hAnsi="宋体" w:eastAsia="宋体" w:cs="宋体"/>
          <w:color w:val="auto"/>
          <w:sz w:val="21"/>
          <w:szCs w:val="21"/>
          <w:highlight w:val="none"/>
          <w:u w:val="single"/>
        </w:rPr>
        <w:t>按规范及（当地）建设行政主管部门要求配置。</w:t>
      </w:r>
    </w:p>
    <w:p w14:paraId="3957F5E4">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按规范及（当地）建设行政主管部门要求配置。</w:t>
      </w:r>
    </w:p>
    <w:p w14:paraId="4F818DF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按规范及（当地）建设行政主管部门要求配置。</w:t>
      </w:r>
    </w:p>
    <w:p w14:paraId="4FE2E505">
      <w:pPr>
        <w:adjustRightInd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材料、工程设备和工程的试验和检验</w:t>
      </w:r>
    </w:p>
    <w:p w14:paraId="3A14877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材料、设备和工程的试验和检验的费用：</w:t>
      </w:r>
    </w:p>
    <w:p w14:paraId="007FB39B">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材料、设备和工程的试验按《建设工程质量管理条例》、《房屋建筑工程和市政基础设施工程实行见证取样和送检的规定》、《浙江省房屋建筑和市政基础设施工程质量检测管理实施办法》等及工程所在地有关工程质量检测的规定实施。</w:t>
      </w:r>
    </w:p>
    <w:p w14:paraId="17AAE15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14:paraId="360051E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当发包人或监理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14:paraId="52582B6E">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当质量安全管理机构根据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合格的，检测、恢复费用由发包人承担。如检测不合格，则由承包人承担本次及重新检测、恢复费用。</w:t>
      </w:r>
    </w:p>
    <w:p w14:paraId="73DAC2E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9.4 现场工艺试验 </w:t>
      </w:r>
    </w:p>
    <w:p w14:paraId="752D88C4">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水泥物理性能检测、砼强度试验、闭水试验等，试验检验应符合施工图纸、验收规范要求，并符合工程所在地质量监督部门的要求</w:t>
      </w:r>
      <w:r>
        <w:rPr>
          <w:rFonts w:hint="eastAsia" w:ascii="宋体" w:hAnsi="宋体" w:eastAsia="宋体" w:cs="宋体"/>
          <w:color w:val="auto"/>
          <w:sz w:val="21"/>
          <w:szCs w:val="21"/>
          <w:highlight w:val="none"/>
        </w:rPr>
        <w:t>。</w:t>
      </w:r>
    </w:p>
    <w:bookmarkEnd w:id="352"/>
    <w:bookmarkEnd w:id="353"/>
    <w:bookmarkEnd w:id="354"/>
    <w:bookmarkEnd w:id="355"/>
    <w:bookmarkEnd w:id="356"/>
    <w:bookmarkEnd w:id="357"/>
    <w:bookmarkEnd w:id="358"/>
    <w:bookmarkEnd w:id="359"/>
    <w:bookmarkEnd w:id="360"/>
    <w:bookmarkEnd w:id="361"/>
    <w:bookmarkEnd w:id="362"/>
    <w:bookmarkEnd w:id="363"/>
    <w:bookmarkEnd w:id="378"/>
    <w:bookmarkEnd w:id="379"/>
    <w:bookmarkEnd w:id="380"/>
    <w:bookmarkEnd w:id="381"/>
    <w:bookmarkEnd w:id="382"/>
    <w:bookmarkEnd w:id="383"/>
    <w:bookmarkEnd w:id="384"/>
    <w:bookmarkEnd w:id="385"/>
    <w:p w14:paraId="57C8A8CE">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386" w:name="_Toc351203642"/>
      <w:r>
        <w:rPr>
          <w:rFonts w:hint="eastAsia" w:ascii="宋体" w:hAnsi="宋体" w:eastAsia="宋体" w:cs="宋体"/>
          <w:color w:val="auto"/>
          <w:sz w:val="21"/>
          <w:szCs w:val="21"/>
          <w:highlight w:val="none"/>
        </w:rPr>
        <w:t>1</w:t>
      </w:r>
      <w:bookmarkStart w:id="387" w:name="_Toc292559398"/>
      <w:bookmarkStart w:id="388" w:name="_Toc296503193"/>
      <w:bookmarkStart w:id="389" w:name="_Toc292559903"/>
      <w:bookmarkStart w:id="390" w:name="_Toc296891021"/>
      <w:bookmarkStart w:id="391" w:name="_Toc297216199"/>
      <w:bookmarkStart w:id="392" w:name="_Toc296346694"/>
      <w:bookmarkStart w:id="393" w:name="_Toc296891233"/>
      <w:bookmarkStart w:id="394" w:name="_Toc297123540"/>
      <w:bookmarkStart w:id="395" w:name="_Toc297120493"/>
      <w:bookmarkStart w:id="396" w:name="_Toc300934989"/>
      <w:bookmarkStart w:id="397" w:name="_Toc296347192"/>
      <w:bookmarkStart w:id="398" w:name="_Toc297048379"/>
      <w:bookmarkStart w:id="399" w:name="_Toc304295566"/>
      <w:bookmarkStart w:id="400" w:name="_Toc296944532"/>
      <w:bookmarkStart w:id="401" w:name="_Toc303539146"/>
      <w:bookmarkStart w:id="402" w:name="_Toc312678025"/>
      <w:bookmarkStart w:id="403" w:name="_Toc312677499"/>
      <w:bookmarkStart w:id="404" w:name="_Toc267251435"/>
      <w:bookmarkStart w:id="405" w:name="_Toc267251441"/>
      <w:bookmarkStart w:id="406" w:name="_Toc267251433"/>
      <w:bookmarkStart w:id="407" w:name="_Toc267251440"/>
      <w:bookmarkStart w:id="408" w:name="_Toc267251437"/>
      <w:bookmarkStart w:id="409" w:name="_Toc267251439"/>
      <w:bookmarkStart w:id="410" w:name="_Toc267251442"/>
      <w:r>
        <w:rPr>
          <w:rFonts w:hint="eastAsia" w:ascii="宋体" w:hAnsi="宋体" w:eastAsia="宋体" w:cs="宋体"/>
          <w:color w:val="auto"/>
          <w:sz w:val="21"/>
          <w:szCs w:val="21"/>
          <w:highlight w:val="none"/>
        </w:rPr>
        <w:t>0. 变更</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bookmarkEnd w:id="402"/>
    <w:bookmarkEnd w:id="403"/>
    <w:p w14:paraId="550F95D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11" w:name="_Toc297123541"/>
      <w:bookmarkStart w:id="412" w:name="_Toc300934990"/>
      <w:bookmarkStart w:id="413" w:name="_Toc312678026"/>
      <w:bookmarkStart w:id="414" w:name="_Toc312677500"/>
      <w:bookmarkStart w:id="415" w:name="_Toc296891234"/>
      <w:bookmarkStart w:id="416" w:name="_Toc292559399"/>
      <w:bookmarkStart w:id="417" w:name="_Toc296503194"/>
      <w:bookmarkStart w:id="418" w:name="_Toc304295567"/>
      <w:bookmarkStart w:id="419" w:name="_Toc296346695"/>
      <w:bookmarkStart w:id="420" w:name="_Toc296347193"/>
      <w:bookmarkStart w:id="421" w:name="_Toc296944533"/>
      <w:bookmarkStart w:id="422" w:name="_Toc296891022"/>
      <w:bookmarkStart w:id="423" w:name="_Toc297120494"/>
      <w:bookmarkStart w:id="424" w:name="_Toc292559904"/>
      <w:bookmarkStart w:id="425" w:name="_Toc297048380"/>
      <w:bookmarkStart w:id="426" w:name="_Toc303539147"/>
      <w:bookmarkStart w:id="427" w:name="_Toc297216200"/>
      <w:r>
        <w:rPr>
          <w:rFonts w:hint="eastAsia" w:ascii="宋体" w:hAnsi="宋体" w:eastAsia="宋体" w:cs="宋体"/>
          <w:color w:val="auto"/>
          <w:sz w:val="21"/>
          <w:szCs w:val="21"/>
          <w:highlight w:val="none"/>
        </w:rPr>
        <w:t>0.1变更的范围</w:t>
      </w:r>
    </w:p>
    <w:p w14:paraId="44BBFB2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按合同通用条款。工程变更引起工程量的减少或增加，承包人不得因此拒绝施工。由发包方原因引起工程变更导致工程量增加或减少的，除工期可适当相应顺延外，承包人不得因工程变更提出误工费及机械闲置等费用</w:t>
      </w:r>
      <w:r>
        <w:rPr>
          <w:rFonts w:hint="eastAsia" w:ascii="宋体" w:hAnsi="宋体" w:eastAsia="宋体" w:cs="宋体"/>
          <w:color w:val="auto"/>
          <w:sz w:val="21"/>
          <w:szCs w:val="21"/>
          <w:highlight w:val="none"/>
        </w:rPr>
        <w:t>。</w:t>
      </w:r>
    </w:p>
    <w:p w14:paraId="1C8D950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10.3变更程序</w:t>
      </w:r>
    </w:p>
    <w:p w14:paraId="290B64A5">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变更程序除须满足合同通用条款要求外，还须严格按照按发包人另行制定的相关管理规定。</w:t>
      </w:r>
    </w:p>
    <w:p w14:paraId="7D312BD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变更估价</w:t>
      </w:r>
    </w:p>
    <w:p w14:paraId="6532733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183EC143">
      <w:pPr>
        <w:adjustRightInd w:val="0"/>
        <w:snapToGrid w:val="0"/>
        <w:spacing w:line="36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关于变更估价的约定: </w:t>
      </w:r>
    </w:p>
    <w:p w14:paraId="68C3603B">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（1）有相同项目的，按照预算书中的编制口径及投标人承诺的结算率计算</w:t>
      </w:r>
      <w:r>
        <w:rPr>
          <w:rFonts w:hint="eastAsia" w:ascii="宋体" w:hAnsi="宋体" w:eastAsia="宋体" w:cs="宋体"/>
          <w:color w:val="auto"/>
          <w:sz w:val="21"/>
          <w:szCs w:val="21"/>
          <w:highlight w:val="none"/>
        </w:rPr>
        <w:t>。</w:t>
      </w:r>
    </w:p>
    <w:p w14:paraId="6A90F45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（2）变更后项目与已标价项目不同或相类似项目的，由承包人按</w:t>
      </w:r>
      <w:r>
        <w:rPr>
          <w:rFonts w:hint="eastAsia" w:ascii="宋体" w:hAnsi="宋体" w:eastAsia="宋体" w:cs="宋体"/>
          <w:color w:val="auto"/>
          <w:sz w:val="21"/>
          <w:szCs w:val="21"/>
          <w:highlight w:val="none"/>
          <w:u w:val="single"/>
          <w:lang w:eastAsia="zh-CN"/>
        </w:rPr>
        <w:t>项目预算</w:t>
      </w:r>
      <w:r>
        <w:rPr>
          <w:rFonts w:hint="eastAsia" w:ascii="宋体" w:hAnsi="宋体" w:eastAsia="宋体" w:cs="宋体"/>
          <w:color w:val="auto"/>
          <w:sz w:val="21"/>
          <w:szCs w:val="21"/>
          <w:highlight w:val="none"/>
          <w:u w:val="single"/>
        </w:rPr>
        <w:t>编制依据、编制方法、口径（其中人工、材料、机械及费用计取标准均按</w:t>
      </w:r>
      <w:r>
        <w:rPr>
          <w:rFonts w:hint="eastAsia" w:ascii="宋体" w:hAnsi="宋体" w:eastAsia="宋体" w:cs="宋体"/>
          <w:color w:val="auto"/>
          <w:sz w:val="21"/>
          <w:szCs w:val="21"/>
          <w:highlight w:val="none"/>
          <w:u w:val="single"/>
          <w:lang w:eastAsia="zh-CN"/>
        </w:rPr>
        <w:t>项目预算</w:t>
      </w:r>
      <w:r>
        <w:rPr>
          <w:rFonts w:hint="eastAsia" w:ascii="宋体" w:hAnsi="宋体" w:eastAsia="宋体" w:cs="宋体"/>
          <w:color w:val="auto"/>
          <w:sz w:val="21"/>
          <w:szCs w:val="21"/>
          <w:highlight w:val="none"/>
          <w:u w:val="single"/>
        </w:rPr>
        <w:t>中计算标准，合同内的新增材料按发包人预算的当期除税信息价（正刊）计算，无价材料、暂定材料的价格发包人将根据市场除稅价予以签证）及结算率予以编制，报发包人审核后确定</w:t>
      </w:r>
      <w:r>
        <w:rPr>
          <w:rFonts w:hint="eastAsia" w:ascii="宋体" w:hAnsi="宋体" w:eastAsia="宋体" w:cs="宋体"/>
          <w:color w:val="auto"/>
          <w:sz w:val="21"/>
          <w:szCs w:val="21"/>
          <w:highlight w:val="none"/>
        </w:rPr>
        <w:t>。</w:t>
      </w:r>
    </w:p>
    <w:p w14:paraId="68014B42">
      <w:pPr>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10.4.2 变更估价程序</w:t>
      </w:r>
    </w:p>
    <w:p w14:paraId="791D388D">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承包人收到发包人、监理人、设计单位的变更指示后14天内向发包人提交变更估价申请。</w:t>
      </w:r>
    </w:p>
    <w:p w14:paraId="26B62F9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承包人提出工程变更、施工方案调整等变更应同时提交变更估价申请。</w:t>
      </w:r>
    </w:p>
    <w:p w14:paraId="0D36FBA6">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承包人提交的变更估价申请，发包人应予以签收，并在14天内审批完毕。</w:t>
      </w:r>
    </w:p>
    <w:p w14:paraId="6C21E91D">
      <w:pPr>
        <w:adjustRightInd w:val="0"/>
        <w:snapToGrid w:val="0"/>
        <w:spacing w:line="3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Start w:id="428" w:name="_Toc296891237"/>
      <w:bookmarkStart w:id="429" w:name="_Toc296944536"/>
      <w:bookmarkStart w:id="430" w:name="_Toc297216203"/>
      <w:bookmarkStart w:id="431" w:name="_Toc292559402"/>
      <w:bookmarkStart w:id="432" w:name="_Toc296503197"/>
      <w:bookmarkStart w:id="433" w:name="_Toc300934993"/>
      <w:bookmarkStart w:id="434" w:name="_Toc292559907"/>
      <w:bookmarkStart w:id="435" w:name="_Toc296346698"/>
      <w:bookmarkStart w:id="436" w:name="_Toc296347196"/>
      <w:bookmarkStart w:id="437" w:name="_Toc303539150"/>
      <w:bookmarkStart w:id="438" w:name="_Toc297048383"/>
      <w:bookmarkStart w:id="439" w:name="_Toc297120497"/>
      <w:bookmarkStart w:id="440" w:name="_Toc296891025"/>
      <w:bookmarkStart w:id="441" w:name="_Toc297123544"/>
      <w:bookmarkStart w:id="442" w:name="_Toc312678029"/>
      <w:bookmarkStart w:id="443" w:name="_Toc312677503"/>
      <w:bookmarkStart w:id="444" w:name="_Toc304295570"/>
      <w:r>
        <w:rPr>
          <w:rFonts w:hint="eastAsia" w:ascii="宋体" w:hAnsi="宋体" w:eastAsia="宋体" w:cs="宋体"/>
          <w:color w:val="auto"/>
          <w:sz w:val="21"/>
          <w:szCs w:val="21"/>
          <w:highlight w:val="none"/>
        </w:rPr>
        <w:t>0.5</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Start w:id="445" w:name="_Toc296347202"/>
      <w:bookmarkStart w:id="446" w:name="_Toc296503203"/>
      <w:bookmarkStart w:id="447" w:name="_Toc297048389"/>
      <w:bookmarkStart w:id="448" w:name="_Toc292559408"/>
      <w:bookmarkStart w:id="449" w:name="_Toc297120503"/>
      <w:bookmarkStart w:id="450" w:name="_Toc303539151"/>
      <w:bookmarkStart w:id="451" w:name="_Toc296944542"/>
      <w:bookmarkStart w:id="452" w:name="_Toc297123545"/>
      <w:bookmarkStart w:id="453" w:name="_Toc292559913"/>
      <w:bookmarkStart w:id="454" w:name="_Toc297216204"/>
      <w:bookmarkStart w:id="455" w:name="_Toc296891243"/>
      <w:bookmarkStart w:id="456" w:name="_Toc300934994"/>
      <w:bookmarkStart w:id="457" w:name="_Toc296891031"/>
      <w:bookmarkStart w:id="458" w:name="_Toc296346704"/>
      <w:r>
        <w:rPr>
          <w:rFonts w:hint="eastAsia" w:ascii="宋体" w:hAnsi="宋体" w:eastAsia="宋体" w:cs="宋体"/>
          <w:color w:val="auto"/>
          <w:sz w:val="21"/>
          <w:szCs w:val="21"/>
          <w:highlight w:val="none"/>
        </w:rPr>
        <w:t>承包人的合理化建议</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00CBD51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14:paraId="63211FB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14:paraId="59F362FD">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459" w:name="_Toc297216205"/>
      <w:bookmarkStart w:id="460" w:name="_Toc304295571"/>
      <w:bookmarkStart w:id="461" w:name="_Toc297048390"/>
      <w:bookmarkStart w:id="462" w:name="_Toc296503204"/>
      <w:bookmarkStart w:id="463" w:name="_Toc297120504"/>
      <w:bookmarkStart w:id="464" w:name="_Toc292559409"/>
      <w:bookmarkStart w:id="465" w:name="_Toc303539152"/>
      <w:bookmarkStart w:id="466" w:name="_Toc312678030"/>
      <w:bookmarkStart w:id="467" w:name="_Toc296891244"/>
      <w:bookmarkStart w:id="468" w:name="_Toc296944543"/>
      <w:bookmarkStart w:id="469" w:name="_Toc292559914"/>
      <w:bookmarkStart w:id="470" w:name="_Toc296891032"/>
      <w:bookmarkStart w:id="471" w:name="_Toc296346705"/>
      <w:bookmarkStart w:id="472" w:name="_Toc296347203"/>
      <w:bookmarkStart w:id="473" w:name="_Toc312677504"/>
      <w:bookmarkStart w:id="474" w:name="_Toc300934995"/>
      <w:bookmarkStart w:id="475" w:name="_Toc318581175"/>
      <w:bookmarkStart w:id="476" w:name="_Toc297123546"/>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29FA451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77" w:name="_Toc296891239"/>
      <w:bookmarkStart w:id="478" w:name="_Toc303539154"/>
      <w:bookmarkStart w:id="479" w:name="_Toc292559404"/>
      <w:bookmarkStart w:id="480" w:name="_Toc312678033"/>
      <w:bookmarkStart w:id="481" w:name="_Toc297120499"/>
      <w:bookmarkStart w:id="482" w:name="_Toc297123548"/>
      <w:bookmarkStart w:id="483" w:name="_Toc296891027"/>
      <w:bookmarkStart w:id="484" w:name="_Toc296346700"/>
      <w:bookmarkStart w:id="485" w:name="_Toc296503199"/>
      <w:bookmarkStart w:id="486" w:name="_Toc304295574"/>
      <w:bookmarkStart w:id="487" w:name="_Toc297216207"/>
      <w:bookmarkStart w:id="488" w:name="_Toc296347198"/>
      <w:bookmarkStart w:id="489" w:name="_Toc300934997"/>
      <w:bookmarkStart w:id="490" w:name="_Toc292559909"/>
      <w:bookmarkStart w:id="491" w:name="_Toc312677507"/>
      <w:bookmarkStart w:id="492" w:name="_Toc296944538"/>
      <w:bookmarkStart w:id="493" w:name="_Toc297048385"/>
      <w:r>
        <w:rPr>
          <w:rFonts w:hint="eastAsia" w:ascii="宋体" w:hAnsi="宋体" w:eastAsia="宋体" w:cs="宋体"/>
          <w:color w:val="auto"/>
          <w:sz w:val="21"/>
          <w:szCs w:val="21"/>
          <w:highlight w:val="none"/>
        </w:rPr>
        <w:t>0.7 暂估价</w:t>
      </w:r>
    </w:p>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14:paraId="135A66C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w:t>
      </w:r>
      <w:bookmarkStart w:id="494" w:name="_Toc312678034"/>
      <w:bookmarkStart w:id="495" w:name="_Toc318581176"/>
      <w:bookmarkStart w:id="496" w:name="_Toc312677508"/>
      <w:r>
        <w:rPr>
          <w:rFonts w:hint="eastAsia" w:ascii="宋体" w:hAnsi="宋体" w:eastAsia="宋体" w:cs="宋体"/>
          <w:color w:val="auto"/>
          <w:kern w:val="0"/>
          <w:sz w:val="21"/>
          <w:szCs w:val="21"/>
          <w:highlight w:val="none"/>
        </w:rPr>
        <w:t>估价材料和工程设备的明细详见附件11：《</w:t>
      </w:r>
      <w:r>
        <w:rPr>
          <w:rFonts w:hint="eastAsia" w:ascii="宋体" w:hAnsi="宋体" w:eastAsia="宋体" w:cs="宋体"/>
          <w:color w:val="auto"/>
          <w:sz w:val="21"/>
          <w:szCs w:val="21"/>
          <w:highlight w:val="none"/>
        </w:rPr>
        <w:t>暂估价一览表》</w:t>
      </w:r>
      <w:r>
        <w:rPr>
          <w:rFonts w:hint="eastAsia" w:ascii="宋体" w:hAnsi="宋体" w:eastAsia="宋体" w:cs="宋体"/>
          <w:color w:val="auto"/>
          <w:kern w:val="0"/>
          <w:sz w:val="21"/>
          <w:szCs w:val="21"/>
          <w:highlight w:val="none"/>
        </w:rPr>
        <w:t>。</w:t>
      </w:r>
    </w:p>
    <w:bookmarkEnd w:id="494"/>
    <w:bookmarkEnd w:id="495"/>
    <w:bookmarkEnd w:id="496"/>
    <w:p w14:paraId="5895DC4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97" w:name="_Toc312678035"/>
      <w:bookmarkStart w:id="498" w:name="_Toc312677509"/>
      <w:bookmarkStart w:id="499" w:name="_Toc318581177"/>
      <w:r>
        <w:rPr>
          <w:rFonts w:hint="eastAsia" w:ascii="宋体" w:hAnsi="宋体" w:eastAsia="宋体" w:cs="宋体"/>
          <w:color w:val="auto"/>
          <w:sz w:val="21"/>
          <w:szCs w:val="21"/>
          <w:highlight w:val="none"/>
        </w:rPr>
        <w:t>0.7.1 依法必须招标的暂估价项目</w:t>
      </w:r>
    </w:p>
    <w:bookmarkEnd w:id="497"/>
    <w:bookmarkEnd w:id="498"/>
    <w:bookmarkEnd w:id="499"/>
    <w:p w14:paraId="5E4A36B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无承包价（暂定价）或工程变更新增的单项材料、设备、专业分包工程估算价在30万元以上的（指可以向同一家供应商采购的同类材料总价），须由发、承包双方通过招标确定价格、供应商或分包人。承包人应按照施工进度计划，在招标工作启动前28天通知发包人，并提交暂估价招标方案和工作分工。与组织招标工作有关的费用由发包人承担。</w:t>
      </w:r>
    </w:p>
    <w:p w14:paraId="5A4E923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r>
        <w:rPr>
          <w:rFonts w:hint="eastAsia" w:ascii="宋体" w:hAnsi="宋体" w:eastAsia="宋体" w:cs="宋体"/>
          <w:color w:val="auto"/>
          <w:sz w:val="21"/>
          <w:szCs w:val="21"/>
          <w:highlight w:val="none"/>
          <w:u w:val="single"/>
        </w:rPr>
        <w:t>按合同通用条款执行。</w:t>
      </w:r>
    </w:p>
    <w:p w14:paraId="23CDFE85">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22BFAA9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如未达到必须依法招标条件的，工程费用以审定结算价为准，并按整体工程投标下浮率下浮；如达到必须依法招标条件的，按10.7.1条执行。</w:t>
      </w:r>
    </w:p>
    <w:p w14:paraId="54524C6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 暂列金额</w:t>
      </w:r>
    </w:p>
    <w:p w14:paraId="6D7520C7">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bookmarkStart w:id="500" w:name="_Toc351203643"/>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 xml:space="preserve">  </w:t>
      </w:r>
    </w:p>
    <w:p w14:paraId="74EFB186">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创标化工地增加费：</w:t>
      </w:r>
      <w:r>
        <w:rPr>
          <w:rFonts w:hint="eastAsia" w:ascii="宋体" w:hAnsi="宋体" w:eastAsia="宋体" w:cs="宋体"/>
          <w:color w:val="auto"/>
          <w:sz w:val="21"/>
          <w:szCs w:val="21"/>
          <w:highlight w:val="none"/>
          <w:u w:val="single"/>
        </w:rPr>
        <w:t>本项目不要求创标化工地的，实际创标化工地的，发包人不支付该项费用</w:t>
      </w:r>
      <w:r>
        <w:rPr>
          <w:rFonts w:hint="eastAsia" w:ascii="宋体" w:hAnsi="宋体" w:eastAsia="宋体" w:cs="宋体"/>
          <w:color w:val="auto"/>
          <w:kern w:val="0"/>
          <w:sz w:val="21"/>
          <w:szCs w:val="21"/>
          <w:highlight w:val="none"/>
        </w:rPr>
        <w:t>。</w:t>
      </w:r>
    </w:p>
    <w:p w14:paraId="7C27EC29">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创优质工程增加费：</w:t>
      </w:r>
      <w:r>
        <w:rPr>
          <w:rFonts w:hint="eastAsia" w:ascii="宋体" w:hAnsi="宋体" w:eastAsia="宋体" w:cs="宋体"/>
          <w:color w:val="auto"/>
          <w:sz w:val="21"/>
          <w:szCs w:val="21"/>
          <w:highlight w:val="none"/>
          <w:u w:val="single"/>
        </w:rPr>
        <w:t>本项目不要求创优质工程的，实际创优质工程的，发包人不支付该项费用。</w:t>
      </w:r>
    </w:p>
    <w:p w14:paraId="74C7C5E6">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价格调整</w:t>
      </w:r>
      <w:bookmarkEnd w:id="500"/>
    </w:p>
    <w:bookmarkEnd w:id="404"/>
    <w:bookmarkEnd w:id="405"/>
    <w:bookmarkEnd w:id="406"/>
    <w:bookmarkEnd w:id="407"/>
    <w:bookmarkEnd w:id="408"/>
    <w:bookmarkEnd w:id="409"/>
    <w:p w14:paraId="7807BEDD">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501" w:name="_Toc296891029"/>
      <w:bookmarkStart w:id="502" w:name="_Toc292559406"/>
      <w:bookmarkStart w:id="503" w:name="_Toc297120501"/>
      <w:bookmarkStart w:id="504" w:name="_Toc300935000"/>
      <w:bookmarkStart w:id="505" w:name="_Toc297123550"/>
      <w:bookmarkStart w:id="506" w:name="_Toc296346702"/>
      <w:bookmarkStart w:id="507" w:name="_Toc296944540"/>
      <w:bookmarkStart w:id="508" w:name="_Toc292559911"/>
      <w:bookmarkStart w:id="509" w:name="_Toc303539157"/>
      <w:bookmarkStart w:id="510" w:name="_Toc297216209"/>
      <w:bookmarkStart w:id="511" w:name="_Toc296891241"/>
      <w:bookmarkStart w:id="512" w:name="_Toc312678039"/>
      <w:bookmarkStart w:id="513" w:name="_Toc297048387"/>
      <w:bookmarkStart w:id="514" w:name="_Toc296503201"/>
      <w:bookmarkStart w:id="515" w:name="_Toc296347200"/>
      <w:bookmarkStart w:id="516" w:name="_Toc304295577"/>
      <w:bookmarkStart w:id="517" w:name="_Toc296346706"/>
      <w:bookmarkStart w:id="518" w:name="_Toc297120505"/>
      <w:bookmarkStart w:id="519" w:name="_Toc297123552"/>
      <w:bookmarkStart w:id="520" w:name="_Toc296944544"/>
      <w:bookmarkStart w:id="521" w:name="_Toc297048391"/>
      <w:bookmarkStart w:id="522" w:name="_Toc296891245"/>
      <w:bookmarkStart w:id="523" w:name="_Toc304295579"/>
      <w:bookmarkStart w:id="524" w:name="_Toc296347204"/>
      <w:bookmarkStart w:id="525" w:name="_Toc292559410"/>
      <w:bookmarkStart w:id="526" w:name="_Toc297216211"/>
      <w:bookmarkStart w:id="527" w:name="_Toc312678040"/>
      <w:bookmarkStart w:id="528" w:name="_Toc292559915"/>
      <w:bookmarkStart w:id="529" w:name="_Toc300935002"/>
      <w:bookmarkStart w:id="530" w:name="_Toc303539159"/>
      <w:bookmarkStart w:id="531" w:name="_Toc296503205"/>
      <w:bookmarkStart w:id="532" w:name="_Toc296891033"/>
      <w:bookmarkStart w:id="533" w:name="_Toc351203644"/>
      <w:r>
        <w:rPr>
          <w:rFonts w:hint="eastAsia" w:ascii="宋体" w:hAnsi="宋体" w:eastAsia="宋体" w:cs="宋体"/>
          <w:color w:val="auto"/>
          <w:sz w:val="21"/>
          <w:szCs w:val="21"/>
          <w:highlight w:val="none"/>
        </w:rPr>
        <w:t>11.1 市场价格波动引起的调整</w:t>
      </w:r>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14:paraId="0AFCA49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不予调整。</w:t>
      </w:r>
    </w:p>
    <w:p w14:paraId="029AE802">
      <w:pPr>
        <w:pStyle w:val="8"/>
        <w:adjustRightInd w:val="0"/>
        <w:snapToGrid w:val="0"/>
        <w:spacing w:before="0" w:after="0" w:line="36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11.2 法律变化引起的调整：</w:t>
      </w:r>
      <w:r>
        <w:rPr>
          <w:rFonts w:hint="eastAsia" w:ascii="宋体" w:hAnsi="宋体" w:eastAsia="宋体" w:cs="宋体"/>
          <w:b w:val="0"/>
          <w:color w:val="auto"/>
          <w:sz w:val="21"/>
          <w:szCs w:val="21"/>
          <w:highlight w:val="none"/>
          <w:u w:val="single"/>
        </w:rPr>
        <w:t>基准日期以后变化由发包人承担，但由承包人原因导致工期延误时的法律变化引起合同价增加的由承包人承担，合同价下降的由发包人受益。</w:t>
      </w:r>
    </w:p>
    <w:bookmarkEnd w:id="410"/>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14:paraId="54DBFA7E">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534" w:name="_Toc351203645"/>
      <w:bookmarkStart w:id="535" w:name="_Toc312678053"/>
      <w:bookmarkStart w:id="536" w:name="_Toc300935015"/>
      <w:bookmarkStart w:id="537" w:name="_Toc296346720"/>
      <w:bookmarkStart w:id="538" w:name="_Toc297120519"/>
      <w:bookmarkStart w:id="539" w:name="_Toc296891259"/>
      <w:bookmarkStart w:id="540" w:name="_Toc292559929"/>
      <w:bookmarkStart w:id="541" w:name="_Toc296891047"/>
      <w:bookmarkStart w:id="542" w:name="_Toc296347218"/>
      <w:bookmarkStart w:id="543" w:name="_Toc303539172"/>
      <w:bookmarkStart w:id="544" w:name="_Toc292559424"/>
      <w:bookmarkStart w:id="545" w:name="_Toc296944558"/>
      <w:bookmarkStart w:id="546" w:name="_Toc296503219"/>
      <w:bookmarkStart w:id="547" w:name="_Toc297216223"/>
      <w:bookmarkStart w:id="548" w:name="_Toc304295593"/>
      <w:bookmarkStart w:id="549" w:name="_Toc297048405"/>
      <w:bookmarkStart w:id="550" w:name="_Toc297123564"/>
      <w:r>
        <w:rPr>
          <w:rFonts w:hint="eastAsia" w:ascii="宋体" w:hAnsi="宋体" w:eastAsia="宋体" w:cs="宋体"/>
          <w:color w:val="auto"/>
          <w:sz w:val="21"/>
          <w:szCs w:val="21"/>
          <w:highlight w:val="none"/>
        </w:rPr>
        <w:t>12. 合同价格、计量与支付</w:t>
      </w:r>
    </w:p>
    <w:p w14:paraId="42486A3D">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551" w:name="_Toc267251461"/>
      <w:bookmarkStart w:id="552" w:name="_Toc292559411"/>
      <w:bookmarkStart w:id="553" w:name="_Toc292559916"/>
      <w:bookmarkStart w:id="554" w:name="_Toc296347205"/>
      <w:bookmarkStart w:id="555" w:name="_Toc296503206"/>
      <w:bookmarkStart w:id="556" w:name="_Toc297120506"/>
      <w:bookmarkStart w:id="557" w:name="_Toc296891034"/>
      <w:bookmarkStart w:id="558" w:name="_Toc296346707"/>
      <w:bookmarkStart w:id="559" w:name="_Toc296891246"/>
      <w:bookmarkStart w:id="560" w:name="_Toc296944545"/>
      <w:bookmarkStart w:id="561" w:name="_Toc297048392"/>
      <w:bookmarkStart w:id="562" w:name="_Toc303539160"/>
      <w:bookmarkStart w:id="563" w:name="_Toc304295580"/>
      <w:bookmarkStart w:id="564" w:name="_Toc300935003"/>
      <w:bookmarkStart w:id="565" w:name="_Toc297123553"/>
      <w:bookmarkStart w:id="566" w:name="_Toc312678041"/>
      <w:bookmarkStart w:id="567" w:name="_Toc297216212"/>
      <w:r>
        <w:rPr>
          <w:rFonts w:hint="eastAsia" w:ascii="宋体" w:hAnsi="宋体" w:eastAsia="宋体" w:cs="宋体"/>
          <w:color w:val="auto"/>
          <w:sz w:val="21"/>
          <w:szCs w:val="21"/>
          <w:highlight w:val="none"/>
        </w:rPr>
        <w:t>12.1 合</w:t>
      </w:r>
      <w:bookmarkEnd w:id="551"/>
      <w:bookmarkEnd w:id="552"/>
      <w:bookmarkEnd w:id="553"/>
      <w:r>
        <w:rPr>
          <w:rFonts w:hint="eastAsia" w:ascii="宋体" w:hAnsi="宋体" w:eastAsia="宋体" w:cs="宋体"/>
          <w:color w:val="auto"/>
          <w:sz w:val="21"/>
          <w:szCs w:val="21"/>
          <w:highlight w:val="none"/>
        </w:rPr>
        <w:t>同价</w:t>
      </w:r>
      <w:bookmarkEnd w:id="554"/>
      <w:bookmarkEnd w:id="555"/>
      <w:bookmarkEnd w:id="556"/>
      <w:bookmarkEnd w:id="557"/>
      <w:bookmarkEnd w:id="558"/>
      <w:bookmarkEnd w:id="559"/>
      <w:bookmarkEnd w:id="560"/>
      <w:bookmarkEnd w:id="561"/>
      <w:r>
        <w:rPr>
          <w:rFonts w:hint="eastAsia" w:ascii="宋体" w:hAnsi="宋体" w:eastAsia="宋体" w:cs="宋体"/>
          <w:color w:val="auto"/>
          <w:sz w:val="21"/>
          <w:szCs w:val="21"/>
          <w:highlight w:val="none"/>
        </w:rPr>
        <w:t>格形式</w:t>
      </w:r>
    </w:p>
    <w:p w14:paraId="5E97D9EB">
      <w:pPr>
        <w:pStyle w:val="25"/>
        <w:widowControl/>
        <w:adjustRightInd w:val="0"/>
        <w:snapToGrid w:val="0"/>
        <w:spacing w:line="36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本合同价款采用第</w:t>
      </w:r>
      <w:r>
        <w:rPr>
          <w:rFonts w:hint="eastAsia" w:hAnsi="宋体" w:cs="宋体"/>
          <w:color w:val="auto"/>
          <w:kern w:val="0"/>
          <w:szCs w:val="21"/>
          <w:highlight w:val="none"/>
          <w:u w:val="single"/>
        </w:rPr>
        <w:t xml:space="preserve">  1  </w:t>
      </w:r>
      <w:r>
        <w:rPr>
          <w:rFonts w:hint="eastAsia" w:hAnsi="宋体" w:cs="宋体"/>
          <w:color w:val="auto"/>
          <w:kern w:val="0"/>
          <w:szCs w:val="21"/>
          <w:highlight w:val="none"/>
        </w:rPr>
        <w:t>种方式</w:t>
      </w:r>
      <w:r>
        <w:rPr>
          <w:rFonts w:hint="eastAsia" w:hAnsi="宋体" w:cs="宋体"/>
          <w:color w:val="auto"/>
          <w:kern w:val="0"/>
          <w:szCs w:val="21"/>
          <w:highlight w:val="none"/>
          <w:u w:val="single"/>
        </w:rPr>
        <w:t xml:space="preserve">  </w:t>
      </w:r>
      <w:r>
        <w:rPr>
          <w:rFonts w:hint="eastAsia" w:hAnsi="宋体" w:cs="宋体"/>
          <w:color w:val="auto"/>
          <w:szCs w:val="21"/>
          <w:highlight w:val="none"/>
          <w:u w:val="single"/>
        </w:rPr>
        <w:t>单价合同</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确定。</w:t>
      </w:r>
    </w:p>
    <w:bookmarkEnd w:id="562"/>
    <w:bookmarkEnd w:id="563"/>
    <w:bookmarkEnd w:id="564"/>
    <w:bookmarkEnd w:id="565"/>
    <w:bookmarkEnd w:id="566"/>
    <w:bookmarkEnd w:id="567"/>
    <w:p w14:paraId="2807956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68ED7E8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p>
    <w:p w14:paraId="08083C86">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本工程结算价按以下约定规则计算工程造价并结合工程结算率，即工程结算价=工程造价×结算率，本工程的结算率一次性包死【工程结算率=投标总报价/</w:t>
      </w:r>
      <w:r>
        <w:rPr>
          <w:rFonts w:hint="eastAsia" w:ascii="宋体" w:hAnsi="宋体" w:eastAsia="宋体" w:cs="宋体"/>
          <w:color w:val="auto"/>
          <w:sz w:val="21"/>
          <w:szCs w:val="21"/>
          <w:highlight w:val="none"/>
          <w:u w:val="single"/>
          <w:lang w:eastAsia="zh-CN"/>
        </w:rPr>
        <w:t>项目预算</w:t>
      </w:r>
      <w:r>
        <w:rPr>
          <w:rFonts w:hint="eastAsia" w:ascii="宋体" w:hAnsi="宋体" w:eastAsia="宋体" w:cs="宋体"/>
          <w:color w:val="auto"/>
          <w:sz w:val="21"/>
          <w:szCs w:val="21"/>
          <w:highlight w:val="none"/>
          <w:u w:val="single"/>
        </w:rPr>
        <w:t>×100%】，结算时应按照</w:t>
      </w:r>
      <w:r>
        <w:rPr>
          <w:rFonts w:hint="eastAsia" w:ascii="宋体" w:hAnsi="宋体" w:eastAsia="宋体" w:cs="宋体"/>
          <w:color w:val="auto"/>
          <w:sz w:val="21"/>
          <w:szCs w:val="21"/>
          <w:highlight w:val="none"/>
          <w:u w:val="single"/>
          <w:lang w:eastAsia="zh-CN"/>
        </w:rPr>
        <w:t>项目预算</w:t>
      </w:r>
      <w:r>
        <w:rPr>
          <w:rFonts w:hint="eastAsia" w:ascii="宋体" w:hAnsi="宋体" w:eastAsia="宋体" w:cs="宋体"/>
          <w:color w:val="auto"/>
          <w:sz w:val="21"/>
          <w:szCs w:val="21"/>
          <w:highlight w:val="none"/>
          <w:u w:val="single"/>
        </w:rPr>
        <w:t>的计量依据、组价方式、取费标准等进行结算，不得调整。除风险范围以外约定调整外，以下内容按承包人的投标承诺不作调整：</w:t>
      </w:r>
    </w:p>
    <w:p w14:paraId="6971585B">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（1）相关费率、人材机价格等均按</w:t>
      </w:r>
      <w:r>
        <w:rPr>
          <w:rFonts w:hint="eastAsia" w:ascii="宋体" w:hAnsi="宋体" w:eastAsia="宋体" w:cs="宋体"/>
          <w:color w:val="auto"/>
          <w:sz w:val="21"/>
          <w:szCs w:val="21"/>
          <w:highlight w:val="none"/>
          <w:u w:val="single"/>
          <w:lang w:eastAsia="zh-CN"/>
        </w:rPr>
        <w:t>项目预算</w:t>
      </w:r>
      <w:r>
        <w:rPr>
          <w:rFonts w:hint="eastAsia" w:ascii="宋体" w:hAnsi="宋体" w:eastAsia="宋体" w:cs="宋体"/>
          <w:color w:val="auto"/>
          <w:sz w:val="21"/>
          <w:szCs w:val="21"/>
          <w:highlight w:val="none"/>
          <w:u w:val="single"/>
        </w:rPr>
        <w:t>包死（暂定价除外），结算时不得调整；</w:t>
      </w:r>
    </w:p>
    <w:p w14:paraId="6F352B6A">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（2）计日工综合单价（工数经发包人签证，综合单价（含税金、规费等其他费用）按技术工260元/工日、普工180元/工日计取）；</w:t>
      </w:r>
    </w:p>
    <w:p w14:paraId="34D18737">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（3）如实际施工机械种类、台数与预算不同，不予调整；</w:t>
      </w:r>
    </w:p>
    <w:p w14:paraId="31DF7C2A">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（4）由于工程量增加或减少引起的工程造价变化，由承包人在报价中综合考虑，承包人不得以此向发包人提出索赔；</w:t>
      </w:r>
    </w:p>
    <w:p w14:paraId="6815052D">
      <w:pPr>
        <w:autoSpaceDE w:val="0"/>
        <w:autoSpaceDN w:val="0"/>
        <w:adjustRightInd w:val="0"/>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（5）其他可能发生的费用：</w:t>
      </w:r>
    </w:p>
    <w:p w14:paraId="22C31822">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a.</w:t>
      </w:r>
      <w:r>
        <w:rPr>
          <w:rFonts w:hint="eastAsia" w:ascii="宋体" w:hAnsi="宋体" w:eastAsia="宋体" w:cs="宋体"/>
          <w:color w:val="auto"/>
          <w:sz w:val="21"/>
          <w:szCs w:val="21"/>
          <w:highlight w:val="none"/>
          <w:u w:val="single"/>
        </w:rPr>
        <w:t>因施工噪音、物体坠落、材料抛散而扰民及影响环境卫生、交通城管、现场文明和施工安全等问题而产生的费用，由承包人自行解决。因此而造成的工期延长由承包人负责。如给发包人另行造成额外的经济损失，发包人可从承包人的工程款中扣回。</w:t>
      </w:r>
    </w:p>
    <w:p w14:paraId="21969313">
      <w:pPr>
        <w:adjustRightInd w:val="0"/>
        <w:snapToGrid w:val="0"/>
        <w:spacing w:line="360" w:lineRule="exact"/>
        <w:ind w:firstLine="420" w:firstLineChars="20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b.</w:t>
      </w:r>
      <w:r>
        <w:rPr>
          <w:rFonts w:hint="eastAsia" w:ascii="宋体" w:hAnsi="宋体" w:eastAsia="宋体" w:cs="宋体"/>
          <w:color w:val="auto"/>
          <w:sz w:val="21"/>
          <w:szCs w:val="21"/>
          <w:highlight w:val="none"/>
          <w:u w:val="single"/>
        </w:rPr>
        <w:t>实际施工中可能发生如街道管理费、人行道临时占用费及押金、干扰费、环保清洁费、办理噪音排放许可证、建筑垃圾处置许可证、二次搬运费（不管是何原因）、已完工程及设备保护费等全部由承包人承担，不管实际情况如何，结算时都不予调整。</w:t>
      </w:r>
    </w:p>
    <w:p w14:paraId="3D0D6F00">
      <w:pPr>
        <w:adjustRightInd w:val="0"/>
        <w:snapToGrid w:val="0"/>
        <w:spacing w:line="360" w:lineRule="exact"/>
        <w:ind w:firstLine="420" w:firstLineChars="20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c.项目实施人员必须严格实行持证上岗制度，否则造成的任何损失由承包人自行承担，与发包人无关。</w:t>
      </w:r>
    </w:p>
    <w:p w14:paraId="3A529EFC">
      <w:pPr>
        <w:adjustRightInd w:val="0"/>
        <w:snapToGrid w:val="0"/>
        <w:spacing w:line="360" w:lineRule="exact"/>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d.承包人须为本项目实施人员投保人身意外伤害保险（保额至少100万元/每人），相关费用在投标报价时综合考虑，结算时不另行计取。</w:t>
      </w:r>
    </w:p>
    <w:p w14:paraId="698C0A35">
      <w:pPr>
        <w:adjustRightInd w:val="0"/>
        <w:snapToGrid w:val="0"/>
        <w:spacing w:line="360" w:lineRule="exact"/>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e.本项目垂直运输费用按3000元包干，投标人在投标报价时综合考虑，结算时不作任何调整。</w:t>
      </w:r>
    </w:p>
    <w:p w14:paraId="6790306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已包含在合同价内</w:t>
      </w:r>
      <w:r>
        <w:rPr>
          <w:rFonts w:hint="eastAsia" w:ascii="宋体" w:hAnsi="宋体" w:eastAsia="宋体" w:cs="宋体"/>
          <w:color w:val="auto"/>
          <w:sz w:val="21"/>
          <w:szCs w:val="21"/>
          <w:highlight w:val="none"/>
        </w:rPr>
        <w:t>。</w:t>
      </w:r>
    </w:p>
    <w:p w14:paraId="2FA8CF8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p>
    <w:p w14:paraId="3EB029E2">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lang w:bidi="ar"/>
        </w:rPr>
      </w:pPr>
      <w:bookmarkStart w:id="568" w:name="_Toc292559416"/>
      <w:bookmarkStart w:id="569" w:name="_Toc304295581"/>
      <w:bookmarkStart w:id="570" w:name="_Toc296346708"/>
      <w:bookmarkStart w:id="571" w:name="_Toc296347206"/>
      <w:bookmarkStart w:id="572" w:name="_Toc297216215"/>
      <w:bookmarkStart w:id="573" w:name="_Toc312678042"/>
      <w:bookmarkStart w:id="574" w:name="_Toc296944546"/>
      <w:bookmarkStart w:id="575" w:name="_Toc296346712"/>
      <w:bookmarkStart w:id="576" w:name="_Toc297216213"/>
      <w:bookmarkStart w:id="577" w:name="_Toc303539163"/>
      <w:bookmarkStart w:id="578" w:name="_Toc296891035"/>
      <w:bookmarkStart w:id="579" w:name="_Toc296503207"/>
      <w:bookmarkStart w:id="580" w:name="_Toc297123554"/>
      <w:bookmarkStart w:id="581" w:name="_Toc300935004"/>
      <w:bookmarkStart w:id="582" w:name="_Toc297048397"/>
      <w:bookmarkStart w:id="583" w:name="_Toc292559412"/>
      <w:bookmarkStart w:id="584" w:name="_Toc296944550"/>
      <w:bookmarkStart w:id="585" w:name="_Toc296891247"/>
      <w:bookmarkStart w:id="586" w:name="_Toc292559917"/>
      <w:bookmarkStart w:id="587" w:name="_Toc300935006"/>
      <w:bookmarkStart w:id="588" w:name="_Toc296347210"/>
      <w:bookmarkStart w:id="589" w:name="_Toc297123556"/>
      <w:bookmarkStart w:id="590" w:name="_Toc297048393"/>
      <w:bookmarkStart w:id="591" w:name="_Toc296891039"/>
      <w:bookmarkStart w:id="592" w:name="_Toc292559921"/>
      <w:bookmarkStart w:id="593" w:name="_Toc296503211"/>
      <w:bookmarkStart w:id="594" w:name="_Toc297120507"/>
      <w:bookmarkStart w:id="595" w:name="_Toc297120511"/>
      <w:bookmarkStart w:id="596" w:name="_Toc303539161"/>
      <w:bookmarkStart w:id="597" w:name="_Toc296891251"/>
      <w:r>
        <w:rPr>
          <w:rFonts w:hint="eastAsia" w:ascii="宋体" w:hAnsi="宋体" w:eastAsia="宋体" w:cs="宋体"/>
          <w:color w:val="auto"/>
          <w:sz w:val="21"/>
          <w:szCs w:val="21"/>
          <w:highlight w:val="none"/>
          <w:u w:val="single"/>
          <w:lang w:bidi="ar"/>
        </w:rPr>
        <w:t>1、工程量按照本招标文件规定的相关定额与规定计算，由承包人计量、发包人及有关部门审核，按实结算。</w:t>
      </w:r>
    </w:p>
    <w:p w14:paraId="1D37BD54">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2、由于承包人未按设计要求和现行有关规范、标准施工，造成工程量增减或返工等，其责任由承包人自负</w:t>
      </w:r>
      <w:r>
        <w:rPr>
          <w:rFonts w:hint="eastAsia" w:ascii="宋体" w:hAnsi="宋体" w:eastAsia="宋体" w:cs="宋体"/>
          <w:color w:val="auto"/>
          <w:sz w:val="21"/>
          <w:szCs w:val="21"/>
          <w:highlight w:val="none"/>
        </w:rPr>
        <w:t>。</w:t>
      </w:r>
    </w:p>
    <w:p w14:paraId="5A70A49C">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3、实际施工时，未达到施工安全文明的有关规定的，在结算时可扣减施工组织措施费中的相应费用</w:t>
      </w:r>
      <w:r>
        <w:rPr>
          <w:rFonts w:hint="eastAsia" w:ascii="宋体" w:hAnsi="宋体" w:eastAsia="宋体" w:cs="宋体"/>
          <w:color w:val="auto"/>
          <w:sz w:val="21"/>
          <w:szCs w:val="21"/>
          <w:highlight w:val="none"/>
        </w:rPr>
        <w:t>。</w:t>
      </w:r>
    </w:p>
    <w:p w14:paraId="552F8B4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4、招标时发包人提供的直接工程费如发现计算错误、定额子目套用错误，按实调整。设计变更和工程联系单而引起的增减工程量部分结算办法：按10.4.1中约定的结算</w:t>
      </w:r>
      <w:r>
        <w:rPr>
          <w:rFonts w:hint="eastAsia" w:ascii="宋体" w:hAnsi="宋体" w:eastAsia="宋体" w:cs="宋体"/>
          <w:color w:val="auto"/>
          <w:sz w:val="21"/>
          <w:szCs w:val="21"/>
          <w:highlight w:val="none"/>
        </w:rPr>
        <w:t>。</w:t>
      </w:r>
    </w:p>
    <w:p w14:paraId="23C7F450">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2、总价合同。</w:t>
      </w:r>
    </w:p>
    <w:p w14:paraId="3BFFCE4E">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8A72E0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154864D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 xml:space="preserve">。       </w:t>
      </w:r>
    </w:p>
    <w:p w14:paraId="6096619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3、其他价格方式：</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14:paraId="3B2B223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预付款</w:t>
      </w:r>
    </w:p>
    <w:p w14:paraId="4E1E2A6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14:paraId="59560511">
      <w:pPr>
        <w:adjustRightInd w:val="0"/>
        <w:snapToGrid w:val="0"/>
        <w:spacing w:line="360" w:lineRule="exact"/>
        <w:ind w:firstLine="420" w:firstLineChars="200"/>
        <w:rPr>
          <w:rFonts w:hint="eastAsia" w:ascii="宋体" w:hAnsi="宋体" w:eastAsia="宋体" w:cs="宋体"/>
          <w:i/>
          <w:color w:val="auto"/>
          <w:sz w:val="21"/>
          <w:szCs w:val="21"/>
          <w:highlight w:val="none"/>
          <w:u w:val="singl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发包人向承包人支付签约合同价的</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%仅作为备料款（包含安全文明施工基本费）。</w:t>
      </w:r>
    </w:p>
    <w:p w14:paraId="462E709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按投标承诺的人员、机械设备进场且正式开工后7天内。</w:t>
      </w:r>
    </w:p>
    <w:p w14:paraId="02349EC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不扣回。作为工程款，不抵扣每期应付进度款。</w:t>
      </w:r>
    </w:p>
    <w:p w14:paraId="24909E0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498588C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5F0BC20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08E850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计量</w:t>
      </w:r>
    </w:p>
    <w:p w14:paraId="589C1DE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3EC1C067">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工程量计算按照实际完成施工图纸范围内和经发包人同意增加的施工内容按实计算，工程量计算规则按照《建设工程工程量清单计价规范》（GB50500-2013）、《房屋建筑与装饰工程工程量计算规范》（GB50854-2013）、《通用安装工程工程量计算规范》（GB 50856-2013）、浙江省补充规定（浙建站计(2013)63号及浙建站计(2014)31号）</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浙江省建设工程计价规则》（2018版）、《浙江省房屋建筑与装饰工程预算定额》（2018版）、《浙江省通用安装工程预算定额》（2018版）《浙江省建设工程施工机械台班费用定额》（2018版）、《浙江省建筑安装材料基期价格》（2018版）</w:t>
      </w:r>
      <w:r>
        <w:rPr>
          <w:rFonts w:hint="eastAsia" w:ascii="宋体" w:hAnsi="宋体" w:eastAsia="宋体" w:cs="宋体"/>
          <w:color w:val="auto"/>
          <w:sz w:val="21"/>
          <w:szCs w:val="21"/>
          <w:highlight w:val="none"/>
          <w:u w:val="single"/>
          <w:lang w:eastAsia="zh-CN"/>
        </w:rPr>
        <w:t>及发包人提供的工程量计算规则计量。人工、材料价格取定根据《台州造价》2024年8月（台州市区）除税价格，无《台州造价》信息价的参照《浙江造价信息》（正刊）2024年8月除税价格信息价并结合市场调查价</w:t>
      </w:r>
      <w:r>
        <w:rPr>
          <w:rFonts w:hint="eastAsia" w:ascii="宋体" w:hAnsi="宋体" w:eastAsia="宋体" w:cs="宋体"/>
          <w:color w:val="auto"/>
          <w:sz w:val="21"/>
          <w:szCs w:val="21"/>
          <w:highlight w:val="none"/>
          <w:u w:val="single"/>
          <w:lang w:val="en-US" w:eastAsia="zh-CN"/>
        </w:rPr>
        <w:t>确定</w:t>
      </w:r>
      <w:r>
        <w:rPr>
          <w:rFonts w:hint="eastAsia" w:ascii="宋体" w:hAnsi="宋体" w:eastAsia="宋体" w:cs="宋体"/>
          <w:color w:val="auto"/>
          <w:sz w:val="21"/>
          <w:szCs w:val="21"/>
          <w:highlight w:val="none"/>
          <w:u w:val="single"/>
          <w:lang w:eastAsia="zh-CN"/>
        </w:rPr>
        <w:t>。</w:t>
      </w:r>
    </w:p>
    <w:p w14:paraId="28B3DDA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04A2B16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本工程按月支付工程进度款，承包人必须每月25日前将当月实际完成的各部位的已完工程量报告送交工程师</w:t>
      </w:r>
      <w:r>
        <w:rPr>
          <w:rFonts w:hint="eastAsia" w:ascii="宋体" w:hAnsi="宋体" w:eastAsia="宋体" w:cs="宋体"/>
          <w:color w:val="auto"/>
          <w:sz w:val="21"/>
          <w:szCs w:val="21"/>
          <w:highlight w:val="none"/>
        </w:rPr>
        <w:t>。</w:t>
      </w:r>
    </w:p>
    <w:p w14:paraId="0735DF6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0F63549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按合同通用条款执行。</w:t>
      </w:r>
    </w:p>
    <w:p w14:paraId="409651A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2C12A5C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6E665E5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w:t>
      </w:r>
      <w:r>
        <w:rPr>
          <w:rFonts w:hint="eastAsia" w:ascii="宋体" w:hAnsi="宋体" w:eastAsia="宋体" w:cs="宋体"/>
          <w:color w:val="auto"/>
          <w:kern w:val="0"/>
          <w:sz w:val="21"/>
          <w:szCs w:val="21"/>
          <w:highlight w:val="none"/>
        </w:rPr>
        <w:t xml:space="preserve">12.3.4 </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w:t>
      </w:r>
      <w:r>
        <w:rPr>
          <w:rFonts w:hint="eastAsia" w:ascii="宋体" w:hAnsi="宋体" w:eastAsia="宋体" w:cs="宋体"/>
          <w:color w:val="auto"/>
          <w:sz w:val="21"/>
          <w:szCs w:val="21"/>
          <w:highlight w:val="none"/>
          <w:u w:val="single"/>
        </w:rPr>
        <w:t xml:space="preserve">  /  </w:t>
      </w:r>
    </w:p>
    <w:p w14:paraId="1DCEA84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0E495E5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          。</w:t>
      </w:r>
    </w:p>
    <w:p w14:paraId="138A061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工程进度款支付</w:t>
      </w:r>
    </w:p>
    <w:p w14:paraId="5BC376E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12.4.1 付款周期</w:t>
      </w:r>
    </w:p>
    <w:p w14:paraId="4C97FA2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关于付款周期的约定：</w:t>
      </w:r>
      <w:r>
        <w:rPr>
          <w:rFonts w:hint="eastAsia" w:ascii="宋体" w:hAnsi="宋体" w:eastAsia="宋体" w:cs="宋体"/>
          <w:color w:val="auto"/>
          <w:sz w:val="21"/>
          <w:szCs w:val="21"/>
          <w:highlight w:val="none"/>
          <w:u w:val="single"/>
        </w:rPr>
        <w:t>按</w:t>
      </w:r>
      <w:r>
        <w:rPr>
          <w:rFonts w:hint="eastAsia" w:ascii="宋体" w:hAnsi="宋体" w:eastAsia="宋体" w:cs="宋体"/>
          <w:color w:val="auto"/>
          <w:sz w:val="21"/>
          <w:szCs w:val="21"/>
          <w:highlight w:val="none"/>
          <w:u w:val="single"/>
          <w:lang w:val="en-US" w:eastAsia="zh-CN"/>
        </w:rPr>
        <w:t>进度</w:t>
      </w:r>
      <w:r>
        <w:rPr>
          <w:rFonts w:hint="eastAsia" w:ascii="宋体" w:hAnsi="宋体" w:eastAsia="宋体" w:cs="宋体"/>
          <w:color w:val="auto"/>
          <w:sz w:val="21"/>
          <w:szCs w:val="21"/>
          <w:highlight w:val="none"/>
          <w:u w:val="single"/>
        </w:rPr>
        <w:t>支付</w:t>
      </w:r>
      <w:r>
        <w:rPr>
          <w:rFonts w:hint="eastAsia" w:ascii="宋体" w:hAnsi="宋体" w:eastAsia="宋体" w:cs="宋体"/>
          <w:color w:val="auto"/>
          <w:sz w:val="21"/>
          <w:szCs w:val="21"/>
          <w:highlight w:val="none"/>
        </w:rPr>
        <w:t>。</w:t>
      </w:r>
    </w:p>
    <w:p w14:paraId="4189708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3455C08E">
      <w:pPr>
        <w:adjustRightInd w:val="0"/>
        <w:snapToGrid w:val="0"/>
        <w:spacing w:line="360" w:lineRule="exact"/>
        <w:ind w:firstLine="420" w:firstLineChars="200"/>
        <w:rPr>
          <w:rFonts w:hint="eastAsia" w:ascii="宋体" w:hAnsi="宋体" w:eastAsia="宋体" w:cs="宋体"/>
          <w:b w:val="0"/>
          <w:bCs w:val="0"/>
          <w:color w:val="auto"/>
          <w:sz w:val="21"/>
          <w:szCs w:val="21"/>
          <w:highlight w:val="none"/>
          <w:u w:val="singl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b w:val="0"/>
          <w:bCs w:val="0"/>
          <w:color w:val="auto"/>
          <w:sz w:val="21"/>
          <w:szCs w:val="21"/>
          <w:highlight w:val="none"/>
          <w:u w:val="single"/>
        </w:rPr>
        <w:t>工程完工后7日内支付至合同价的85%，工程验收合格且工程结算经有关部门审定后，承包人提交工程质量保证金保函（保证金额为1.5%的工程结算价款）给发包人，然后发包人付清余款。承包人必须及时将工程进度款足额用于本工程，不得挪作它用。承包人收取备料款及每期工程款时应开具符合税务部门规定的有效发票，其余按合同通用条款。</w:t>
      </w:r>
    </w:p>
    <w:p w14:paraId="6A01CD6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12.4.3 进度付款申请单的提交 </w:t>
      </w:r>
    </w:p>
    <w:p w14:paraId="60938C6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按合同通用条款执行。</w:t>
      </w:r>
    </w:p>
    <w:p w14:paraId="0CC9786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C7A94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833958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0834AEF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按合同通用条款执行。</w:t>
      </w:r>
    </w:p>
    <w:p w14:paraId="474A720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按合同通用条款执行。</w:t>
      </w:r>
    </w:p>
    <w:p w14:paraId="61CDB81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发包人支付进度款的期限：</w:t>
      </w:r>
      <w:r>
        <w:rPr>
          <w:rFonts w:hint="eastAsia" w:ascii="宋体" w:hAnsi="宋体" w:eastAsia="宋体" w:cs="宋体"/>
          <w:color w:val="auto"/>
          <w:sz w:val="21"/>
          <w:szCs w:val="21"/>
          <w:highlight w:val="none"/>
          <w:u w:val="single"/>
        </w:rPr>
        <w:t>在发包人确认计量结果后14天内完成支付。</w:t>
      </w:r>
    </w:p>
    <w:p w14:paraId="001DE92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支付应付工程进度款的利息，利率按同期全国银行间同业拆借中心公布的贷款市场报价利率，时间为从约定应付之日起至支付之日止计算利息。</w:t>
      </w:r>
    </w:p>
    <w:p w14:paraId="19DCB06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发包人每月签发的工程量审核报告、进度款支付证书或临时进度款支付证书，仅为本期工程进度款支付依据，不作为发包人已同意、批准或接受了承包人完成的相应部分工作或已确认计量结果。</w:t>
      </w:r>
    </w:p>
    <w:p w14:paraId="45D1619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2905F74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4DF84B8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14:paraId="610D856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 支付帐户</w:t>
      </w:r>
    </w:p>
    <w:p w14:paraId="361FB51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发包人应将合同价款支付至合同协议书中约定的承包人账户：</w:t>
      </w:r>
    </w:p>
    <w:p w14:paraId="310129F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r>
        <w:rPr>
          <w:rFonts w:hint="eastAsia" w:ascii="宋体" w:hAnsi="宋体" w:eastAsia="宋体" w:cs="宋体"/>
          <w:color w:val="auto"/>
          <w:sz w:val="21"/>
          <w:szCs w:val="21"/>
          <w:highlight w:val="none"/>
          <w:u w:val="single"/>
        </w:rPr>
        <w:t xml:space="preserve">                       </w:t>
      </w:r>
    </w:p>
    <w:p w14:paraId="1085C8E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帐号：</w:t>
      </w:r>
      <w:r>
        <w:rPr>
          <w:rFonts w:hint="eastAsia" w:ascii="宋体" w:hAnsi="宋体" w:eastAsia="宋体" w:cs="宋体"/>
          <w:color w:val="auto"/>
          <w:sz w:val="21"/>
          <w:szCs w:val="21"/>
          <w:highlight w:val="none"/>
          <w:u w:val="single"/>
        </w:rPr>
        <w:t xml:space="preserve">                         </w:t>
      </w:r>
    </w:p>
    <w:p w14:paraId="09BBB6C0">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验收和工程试车</w:t>
      </w:r>
      <w:bookmarkEnd w:id="534"/>
    </w:p>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0A89635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分部分项工程验收</w:t>
      </w:r>
    </w:p>
    <w:p w14:paraId="2641092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49B38A1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w:t>
      </w:r>
    </w:p>
    <w:p w14:paraId="1847EAE4">
      <w:pPr>
        <w:adjustRightInd w:val="0"/>
        <w:snapToGrid w:val="0"/>
        <w:spacing w:line="360" w:lineRule="exact"/>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u w:val="single"/>
        </w:rPr>
        <w:t>工程验收过程、验收部位除办理纸质验收记录，还应留置验收部位、验收过程、主要验收人员相片、影像等资料。</w:t>
      </w:r>
    </w:p>
    <w:p w14:paraId="13C219BF">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598" w:name="_Toc296891263"/>
      <w:bookmarkStart w:id="599" w:name="_Toc297123565"/>
      <w:bookmarkStart w:id="600" w:name="_Toc304295596"/>
      <w:bookmarkStart w:id="601" w:name="_Toc296346724"/>
      <w:bookmarkStart w:id="602" w:name="_Toc297216224"/>
      <w:bookmarkStart w:id="603" w:name="_Toc297120523"/>
      <w:bookmarkStart w:id="604" w:name="_Toc292559428"/>
      <w:bookmarkStart w:id="605" w:name="_Toc296891051"/>
      <w:bookmarkStart w:id="606" w:name="_Toc300935016"/>
      <w:bookmarkStart w:id="607" w:name="_Toc312678056"/>
      <w:bookmarkStart w:id="608" w:name="_Toc296503223"/>
      <w:bookmarkStart w:id="609" w:name="_Toc296944562"/>
      <w:bookmarkStart w:id="610" w:name="_Toc296347222"/>
      <w:bookmarkStart w:id="611" w:name="_Toc303539173"/>
      <w:bookmarkStart w:id="612" w:name="_Toc297048409"/>
      <w:bookmarkStart w:id="613" w:name="_Toc292559933"/>
      <w:bookmarkStart w:id="614" w:name="_Toc267251473"/>
      <w:bookmarkStart w:id="615" w:name="_Toc267251476"/>
      <w:bookmarkStart w:id="616" w:name="_Toc267251470"/>
      <w:bookmarkStart w:id="617" w:name="_Toc267251472"/>
      <w:bookmarkStart w:id="618" w:name="_Toc267251475"/>
      <w:bookmarkStart w:id="619" w:name="_Toc267251474"/>
      <w:bookmarkStart w:id="620" w:name="_Toc267251471"/>
      <w:r>
        <w:rPr>
          <w:rFonts w:hint="eastAsia" w:ascii="宋体" w:hAnsi="宋体" w:eastAsia="宋体" w:cs="宋体"/>
          <w:color w:val="auto"/>
          <w:sz w:val="21"/>
          <w:szCs w:val="21"/>
          <w:highlight w:val="none"/>
        </w:rPr>
        <w:t>13.2 竣工验收</w:t>
      </w:r>
    </w:p>
    <w:p w14:paraId="40633B48">
      <w:pPr>
        <w:adjustRightInd w:val="0"/>
        <w:snapToGrid w:val="0"/>
        <w:spacing w:line="360" w:lineRule="exact"/>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竣工验收按《建设工程质量管理条例》第十六条执行。</w:t>
      </w:r>
    </w:p>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14:paraId="4F8E3403">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621" w:name="_Toc280868706"/>
      <w:bookmarkStart w:id="622" w:name="_Toc280868708"/>
      <w:bookmarkStart w:id="623" w:name="_Toc280868707"/>
      <w:bookmarkStart w:id="624" w:name="_Toc280868705"/>
      <w:bookmarkStart w:id="625" w:name="_Toc280868709"/>
      <w:r>
        <w:rPr>
          <w:rFonts w:hint="eastAsia" w:ascii="宋体" w:hAnsi="宋体" w:eastAsia="宋体" w:cs="宋体"/>
          <w:color w:val="auto"/>
          <w:sz w:val="21"/>
          <w:szCs w:val="21"/>
          <w:highlight w:val="none"/>
        </w:rPr>
        <w:t>13.2.1 竣工验收条件</w:t>
      </w:r>
    </w:p>
    <w:p w14:paraId="09029AC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工程具备以下条件的，承包人可以申请竣工验收：</w:t>
      </w:r>
    </w:p>
    <w:p w14:paraId="5935756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除发包人同意的甩项工作和缺陷修补工作外，合同范围内的全部工程以及有关工作，包括合同要求的试验、试运行以及检验均已完成，并符合合同要求；</w:t>
      </w:r>
    </w:p>
    <w:p w14:paraId="13E6106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已按合同约定编制了甩项工作和缺陷修补工作清单以及相应的施工计划；</w:t>
      </w:r>
    </w:p>
    <w:p w14:paraId="0A30B39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已按合同约定的内容和份数备齐竣工资料。</w:t>
      </w:r>
    </w:p>
    <w:bookmarkEnd w:id="621"/>
    <w:bookmarkEnd w:id="622"/>
    <w:bookmarkEnd w:id="623"/>
    <w:bookmarkEnd w:id="624"/>
    <w:p w14:paraId="6BAA51C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p w14:paraId="658D13F2">
      <w:pPr>
        <w:adjustRightInd w:val="0"/>
        <w:snapToGrid w:val="0"/>
        <w:spacing w:line="360" w:lineRule="exact"/>
        <w:ind w:firstLine="451" w:firstLineChars="215"/>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 xml:space="preserve"> 按合同通用条款。</w:t>
      </w:r>
    </w:p>
    <w:p w14:paraId="7790F4B5">
      <w:pPr>
        <w:adjustRightInd w:val="0"/>
        <w:snapToGrid w:val="0"/>
        <w:spacing w:line="360" w:lineRule="exact"/>
        <w:ind w:firstLine="451" w:firstLineChars="2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承包人完成合同范围内的工程内容，向发包人或监理人提出验收申请，发包人应在监理人收到承包人提交的验收申请报告42天内组织监理人、承包人、设计勘察人等相关单位完成验收，并签署工程质量合格文件。承包人须配合发包人进行工程竣工验收</w:t>
      </w:r>
      <w:r>
        <w:rPr>
          <w:rFonts w:hint="eastAsia" w:ascii="宋体" w:hAnsi="宋体" w:eastAsia="宋体" w:cs="宋体"/>
          <w:color w:val="auto"/>
          <w:sz w:val="21"/>
          <w:szCs w:val="21"/>
          <w:highlight w:val="none"/>
        </w:rPr>
        <w:t>。</w:t>
      </w:r>
    </w:p>
    <w:p w14:paraId="04F3C658">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不计违约金。</w:t>
      </w:r>
    </w:p>
    <w:p w14:paraId="0F40264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因发包人原因，未在监理人接收到承包人提交的竣工验收申请报告42天内完成验收，或完成验收不予签发工程接收证书的，以提交竣工验收申请报告的日期为实际竣工日期</w:t>
      </w:r>
      <w:r>
        <w:rPr>
          <w:rFonts w:hint="eastAsia" w:ascii="宋体" w:hAnsi="宋体" w:eastAsia="宋体" w:cs="宋体"/>
          <w:color w:val="auto"/>
          <w:sz w:val="21"/>
          <w:szCs w:val="21"/>
          <w:highlight w:val="none"/>
        </w:rPr>
        <w:t>。</w:t>
      </w:r>
    </w:p>
    <w:p w14:paraId="425B066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13.2.3 竣工日期</w:t>
      </w:r>
    </w:p>
    <w:p w14:paraId="5BE12A0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承包人完成合同范围内的全部工程以及有关工作，工程经验收合格的，以承包人提交验收申请报告之日为计算合同工期终止日。</w:t>
      </w:r>
    </w:p>
    <w:p w14:paraId="0EAB7C8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（2）其余按通用合同条款。</w:t>
      </w:r>
    </w:p>
    <w:p w14:paraId="5C336E3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p w14:paraId="103545F6">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按合同通用条款执行。</w:t>
      </w:r>
    </w:p>
    <w:p w14:paraId="74AB7CA6">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不支付违约金</w:t>
      </w:r>
      <w:r>
        <w:rPr>
          <w:rFonts w:hint="eastAsia" w:ascii="宋体" w:hAnsi="宋体" w:eastAsia="宋体" w:cs="宋体"/>
          <w:color w:val="auto"/>
          <w:sz w:val="21"/>
          <w:szCs w:val="21"/>
          <w:highlight w:val="none"/>
        </w:rPr>
        <w:t>。</w:t>
      </w:r>
    </w:p>
    <w:p w14:paraId="502B1D8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同7.5.2条款的工期延误的违约金支付方式，并由承包人应承担工程照管、成品保护、保管等与工程有关的各项费用，且承担由此造成的发包人及其他相关单位的相关损失</w:t>
      </w:r>
      <w:r>
        <w:rPr>
          <w:rFonts w:hint="eastAsia" w:ascii="宋体" w:hAnsi="宋体" w:eastAsia="宋体" w:cs="宋体"/>
          <w:color w:val="auto"/>
          <w:sz w:val="21"/>
          <w:szCs w:val="21"/>
          <w:highlight w:val="none"/>
        </w:rPr>
        <w:t>。</w:t>
      </w:r>
    </w:p>
    <w:p w14:paraId="48404AA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工程试车</w:t>
      </w:r>
    </w:p>
    <w:p w14:paraId="151DA2F7">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5FBC739A">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BDCAD74">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kern w:val="0"/>
          <w:sz w:val="21"/>
          <w:szCs w:val="21"/>
          <w:highlight w:val="none"/>
        </w:rPr>
        <w:t>承担；</w:t>
      </w:r>
    </w:p>
    <w:p w14:paraId="65FE28F0">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kern w:val="0"/>
          <w:sz w:val="21"/>
          <w:szCs w:val="21"/>
          <w:highlight w:val="none"/>
        </w:rPr>
        <w:t>承担。</w:t>
      </w:r>
    </w:p>
    <w:p w14:paraId="1E1A10AB">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1240D4BD">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5A524C9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 竣工退场</w:t>
      </w:r>
    </w:p>
    <w:p w14:paraId="49E0E7D8">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4F37E44B">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颁发工程接收证书后7天内</w:t>
      </w:r>
      <w:r>
        <w:rPr>
          <w:rFonts w:hint="eastAsia" w:ascii="宋体" w:hAnsi="宋体" w:eastAsia="宋体" w:cs="宋体"/>
          <w:color w:val="auto"/>
          <w:kern w:val="0"/>
          <w:sz w:val="21"/>
          <w:szCs w:val="21"/>
          <w:highlight w:val="none"/>
        </w:rPr>
        <w:t>。</w:t>
      </w:r>
    </w:p>
    <w:p w14:paraId="6BF203FD">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13.6.2 地表还原</w:t>
      </w:r>
    </w:p>
    <w:p w14:paraId="31E24356">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69D02AA8">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本工程场地恢复的要求：</w:t>
      </w:r>
    </w:p>
    <w:p w14:paraId="6BDD3463">
      <w:pPr>
        <w:numPr>
          <w:ilvl w:val="0"/>
          <w:numId w:val="5"/>
        </w:num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清理完成施工现场垃圾，临建的拆除与场地复原；</w:t>
      </w:r>
    </w:p>
    <w:p w14:paraId="2E029899">
      <w:pPr>
        <w:numPr>
          <w:ilvl w:val="0"/>
          <w:numId w:val="5"/>
        </w:num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施工后废弃材料、设备清理撤离；</w:t>
      </w:r>
    </w:p>
    <w:p w14:paraId="44AC08CD">
      <w:pPr>
        <w:numPr>
          <w:ilvl w:val="0"/>
          <w:numId w:val="5"/>
        </w:num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承包人造成的施工现场周边施工堆积物及场地清理。</w:t>
      </w:r>
    </w:p>
    <w:p w14:paraId="7CE84763">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（4）其它要求：</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119617AA">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626" w:name="_Toc351203646"/>
      <w:r>
        <w:rPr>
          <w:rFonts w:hint="eastAsia" w:ascii="宋体" w:hAnsi="宋体" w:eastAsia="宋体" w:cs="宋体"/>
          <w:color w:val="auto"/>
          <w:sz w:val="21"/>
          <w:szCs w:val="21"/>
          <w:highlight w:val="none"/>
        </w:rPr>
        <w:t>14. 竣工结算</w:t>
      </w:r>
      <w:bookmarkEnd w:id="626"/>
    </w:p>
    <w:bookmarkEnd w:id="614"/>
    <w:bookmarkEnd w:id="615"/>
    <w:bookmarkEnd w:id="616"/>
    <w:bookmarkEnd w:id="617"/>
    <w:bookmarkEnd w:id="618"/>
    <w:bookmarkEnd w:id="619"/>
    <w:bookmarkEnd w:id="620"/>
    <w:bookmarkEnd w:id="625"/>
    <w:p w14:paraId="12D86679">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627" w:name="_Toc351203647"/>
      <w:bookmarkStart w:id="628" w:name="_Toc267251483"/>
      <w:bookmarkStart w:id="629" w:name="_Toc267251485"/>
      <w:bookmarkStart w:id="630" w:name="_Toc267251484"/>
      <w:bookmarkStart w:id="631" w:name="_Toc267251482"/>
      <w:bookmarkStart w:id="632" w:name="_Toc351203648"/>
      <w:bookmarkStart w:id="633" w:name="_Toc280868717"/>
      <w:bookmarkStart w:id="634" w:name="_Toc280868718"/>
      <w:bookmarkStart w:id="635" w:name="_Toc267251491"/>
      <w:bookmarkStart w:id="636" w:name="_Toc267251501"/>
      <w:bookmarkStart w:id="637" w:name="_Toc267251496"/>
      <w:bookmarkStart w:id="638" w:name="_Toc267251492"/>
      <w:bookmarkStart w:id="639" w:name="_Toc267251498"/>
      <w:bookmarkStart w:id="640" w:name="_Toc267251494"/>
      <w:bookmarkStart w:id="641" w:name="_Toc267251499"/>
      <w:bookmarkStart w:id="642" w:name="_Toc267251493"/>
      <w:bookmarkStart w:id="643" w:name="_Toc267251502"/>
      <w:bookmarkStart w:id="644" w:name="_Toc267251503"/>
      <w:bookmarkStart w:id="645" w:name="_Toc267251495"/>
      <w:bookmarkStart w:id="646" w:name="_Toc267251497"/>
      <w:bookmarkStart w:id="647" w:name="_Toc267251506"/>
      <w:bookmarkStart w:id="648" w:name="_Toc267251504"/>
      <w:bookmarkStart w:id="649" w:name="_Toc267251507"/>
      <w:bookmarkStart w:id="650" w:name="_Toc267251508"/>
      <w:bookmarkStart w:id="651" w:name="_Toc267251514"/>
      <w:bookmarkStart w:id="652" w:name="_Toc267251510"/>
      <w:bookmarkStart w:id="653" w:name="_Toc267251509"/>
      <w:bookmarkStart w:id="654" w:name="_Toc267251513"/>
      <w:bookmarkStart w:id="655" w:name="_Toc267251511"/>
      <w:bookmarkStart w:id="656" w:name="_Toc267251515"/>
      <w:r>
        <w:rPr>
          <w:rFonts w:hint="eastAsia" w:ascii="宋体" w:hAnsi="宋体" w:eastAsia="宋体" w:cs="宋体"/>
          <w:color w:val="auto"/>
          <w:sz w:val="21"/>
          <w:szCs w:val="21"/>
          <w:highlight w:val="none"/>
        </w:rPr>
        <w:t>14.1 竣工结算申请</w:t>
      </w:r>
    </w:p>
    <w:p w14:paraId="513CA1A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承包人应在完成合同范围内施工内容，参建各方（建设、监理、施工、设计单位等）对工程验收并签署工程质量合格文件后90天内向发包人和监理人提交竣工结算申请单，并提交完整的工程结算资料一套。</w:t>
      </w:r>
    </w:p>
    <w:p w14:paraId="69FA54FC">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承包人超过90天未提交竣工结算资料，经发包人催告后28天，承包人还不提交竣工结算资料的，发包人可根据自己资料办理竣工结算，且视为承包人认可竣工结算结果。</w:t>
      </w:r>
    </w:p>
    <w:p w14:paraId="67FF5B50">
      <w:pPr>
        <w:adjustRightInd w:val="0"/>
        <w:snapToGrid w:val="0"/>
        <w:spacing w:line="360" w:lineRule="exact"/>
        <w:ind w:firstLine="420" w:firstLineChars="200"/>
        <w:rPr>
          <w:rFonts w:hint="eastAsia" w:ascii="宋体" w:hAnsi="宋体" w:eastAsia="宋体" w:cs="宋体"/>
          <w:iCs/>
          <w:color w:val="auto"/>
          <w:sz w:val="21"/>
          <w:szCs w:val="21"/>
          <w:highlight w:val="none"/>
          <w:u w:val="single"/>
        </w:rPr>
      </w:pPr>
      <w:r>
        <w:rPr>
          <w:rFonts w:hint="eastAsia" w:ascii="宋体" w:hAnsi="宋体" w:eastAsia="宋体" w:cs="宋体"/>
          <w:iCs/>
          <w:color w:val="auto"/>
          <w:sz w:val="21"/>
          <w:szCs w:val="21"/>
          <w:highlight w:val="none"/>
        </w:rPr>
        <w:t>承包人提交竣工付款单的期限：</w:t>
      </w:r>
      <w:r>
        <w:rPr>
          <w:rFonts w:hint="eastAsia" w:ascii="宋体" w:hAnsi="宋体" w:eastAsia="宋体" w:cs="宋体"/>
          <w:iCs/>
          <w:color w:val="auto"/>
          <w:sz w:val="21"/>
          <w:szCs w:val="21"/>
          <w:highlight w:val="none"/>
          <w:u w:val="single"/>
        </w:rPr>
        <w:t>按通用条款执行。</w:t>
      </w:r>
    </w:p>
    <w:p w14:paraId="77AA8385">
      <w:pPr>
        <w:adjustRightInd w:val="0"/>
        <w:snapToGrid w:val="0"/>
        <w:spacing w:line="360" w:lineRule="exact"/>
        <w:ind w:firstLine="420" w:firstLineChars="200"/>
        <w:rPr>
          <w:rFonts w:hint="eastAsia" w:ascii="宋体" w:hAnsi="宋体" w:eastAsia="宋体" w:cs="宋体"/>
          <w:i/>
          <w:color w:val="auto"/>
          <w:sz w:val="21"/>
          <w:szCs w:val="21"/>
          <w:highlight w:val="none"/>
          <w:u w:val="single"/>
        </w:rPr>
      </w:pPr>
      <w:r>
        <w:rPr>
          <w:rFonts w:hint="eastAsia" w:ascii="宋体" w:hAnsi="宋体" w:eastAsia="宋体" w:cs="宋体"/>
          <w:iCs/>
          <w:color w:val="auto"/>
          <w:sz w:val="21"/>
          <w:szCs w:val="21"/>
          <w:highlight w:val="none"/>
        </w:rPr>
        <w:t>竣工付款申请单应包括的内容：</w:t>
      </w:r>
      <w:r>
        <w:rPr>
          <w:rFonts w:hint="eastAsia" w:ascii="宋体" w:hAnsi="宋体" w:eastAsia="宋体" w:cs="宋体"/>
          <w:iCs/>
          <w:color w:val="auto"/>
          <w:sz w:val="21"/>
          <w:szCs w:val="21"/>
          <w:highlight w:val="none"/>
          <w:u w:val="single"/>
        </w:rPr>
        <w:t>按通用条款执行。</w:t>
      </w:r>
    </w:p>
    <w:p w14:paraId="1245A5D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竣工结算审核</w:t>
      </w:r>
    </w:p>
    <w:p w14:paraId="670B3BC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（1）发包人结算审核时间：</w:t>
      </w:r>
      <w:r>
        <w:rPr>
          <w:rFonts w:hint="eastAsia" w:ascii="宋体" w:hAnsi="宋体" w:eastAsia="宋体" w:cs="宋体"/>
          <w:color w:val="auto"/>
          <w:sz w:val="21"/>
          <w:szCs w:val="21"/>
          <w:highlight w:val="none"/>
          <w:u w:val="single"/>
        </w:rPr>
        <w:t>发包人收到承包人递交的竣工结算报告及结算资料后，在6个月内审核完毕，并签发竣工结算证书。</w:t>
      </w:r>
    </w:p>
    <w:p w14:paraId="18CC6BD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由发包人原因逾期审核责任：向承包人支付违约金，违约金为工程结算后应付工程款的利息，利率按中国人民银行发布的同期同类贷款基准利率，利息计算时间为应付工程款日至支付工程款日止。</w:t>
      </w:r>
    </w:p>
    <w:p w14:paraId="24A9702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（2）发包人在签发竣工结算证书后14天内，扣留工程质量保证金后完成对承包人的竣工付款。逾期支付按中国人民银行发布的同期同类贷款基准利率支付违约金。</w:t>
      </w:r>
    </w:p>
    <w:p w14:paraId="72908212">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（3）承包人对发包人签认的结算价有异议的，发包人可先支付承包人无异议部分结算款（并扣除所有可能需要扣除的款项）。异议部分重新进行复核或按照第20条争议解决约定处理。</w:t>
      </w:r>
    </w:p>
    <w:p w14:paraId="70EA949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（4）因承包人在规定时间内未提交完整的竣工结算报告及结算资料（含电子版）且拒不配合，发包人有权单方面进行竣工结算。</w:t>
      </w:r>
    </w:p>
    <w:p w14:paraId="7A17D2D9">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（5）结算特殊要求：</w:t>
      </w:r>
      <w:r>
        <w:rPr>
          <w:rFonts w:hint="eastAsia" w:ascii="宋体" w:hAnsi="宋体" w:eastAsia="宋体" w:cs="宋体"/>
          <w:color w:val="auto"/>
          <w:sz w:val="21"/>
          <w:szCs w:val="21"/>
          <w:highlight w:val="none"/>
          <w:u w:val="single"/>
        </w:rPr>
        <w:t>工程结算由发包人委托中介机构或相关部门审核，如遇国家审计的，审计结果以国家审核结果为准。审核费按《浙江省物价局关于进一步完善工程造价咨询服务收费的通知》（浙价服〔2009〕84号）计算，其中结算追加收费由承包人承担（结算追加收费按超过5%以外的核减额、核增额的5%），并可由发包人在应付工程款中扣除直接支付给中介审核机构。</w:t>
      </w:r>
    </w:p>
    <w:p w14:paraId="187088A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14:paraId="749DB66B">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1EEF7F92">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满足发包人及相关部门审查要求</w:t>
      </w:r>
      <w:r>
        <w:rPr>
          <w:rFonts w:hint="eastAsia" w:ascii="宋体" w:hAnsi="宋体" w:eastAsia="宋体" w:cs="宋体"/>
          <w:color w:val="auto"/>
          <w:sz w:val="21"/>
          <w:szCs w:val="21"/>
          <w:highlight w:val="none"/>
        </w:rPr>
        <w:t>。</w:t>
      </w:r>
    </w:p>
    <w:p w14:paraId="48B248B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缺陷责任期终止后7天内</w:t>
      </w:r>
      <w:r>
        <w:rPr>
          <w:rFonts w:hint="eastAsia" w:ascii="宋体" w:hAnsi="宋体" w:eastAsia="宋体" w:cs="宋体"/>
          <w:color w:val="auto"/>
          <w:sz w:val="21"/>
          <w:szCs w:val="21"/>
          <w:highlight w:val="none"/>
        </w:rPr>
        <w:t xml:space="preserve">。 </w:t>
      </w:r>
    </w:p>
    <w:p w14:paraId="0343186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21776BC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14:paraId="55DB83AD">
      <w:pPr>
        <w:pStyle w:val="8"/>
        <w:adjustRightInd w:val="0"/>
        <w:snapToGrid w:val="0"/>
        <w:spacing w:before="0" w:after="0" w:line="3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（2）发包人完成支付的期限：</w:t>
      </w:r>
      <w:r>
        <w:rPr>
          <w:rFonts w:hint="eastAsia" w:ascii="宋体" w:hAnsi="宋体" w:eastAsia="宋体" w:cs="宋体"/>
          <w:b w:val="0"/>
          <w:bCs w:val="0"/>
          <w:color w:val="auto"/>
          <w:sz w:val="21"/>
          <w:szCs w:val="21"/>
          <w:highlight w:val="none"/>
          <w:u w:val="single"/>
        </w:rPr>
        <w:t>按合同通用条款</w:t>
      </w:r>
      <w:r>
        <w:rPr>
          <w:rFonts w:hint="eastAsia" w:ascii="宋体" w:hAnsi="宋体" w:eastAsia="宋体" w:cs="宋体"/>
          <w:b w:val="0"/>
          <w:bCs w:val="0"/>
          <w:color w:val="auto"/>
          <w:sz w:val="21"/>
          <w:szCs w:val="21"/>
          <w:highlight w:val="none"/>
        </w:rPr>
        <w:t>。</w:t>
      </w:r>
    </w:p>
    <w:p w14:paraId="68D04464">
      <w:pPr>
        <w:pStyle w:val="8"/>
        <w:adjustRightInd w:val="0"/>
        <w:snapToGrid w:val="0"/>
        <w:spacing w:before="0" w:after="0" w:line="360" w:lineRule="exact"/>
        <w:ind w:firstLine="422" w:firstLineChars="20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15. 缺陷责任期与保修</w:t>
      </w:r>
      <w:bookmarkEnd w:id="627"/>
    </w:p>
    <w:p w14:paraId="0C38D3C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bookmarkEnd w:id="628"/>
    </w:p>
    <w:p w14:paraId="72C7C04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缺陷责任期24个月，其余按通用条款执行。</w:t>
      </w:r>
    </w:p>
    <w:p w14:paraId="51ACE49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质量保证金</w:t>
      </w:r>
    </w:p>
    <w:p w14:paraId="6B7BB5A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留置质量保证金</w:t>
      </w:r>
      <w:r>
        <w:rPr>
          <w:rFonts w:hint="eastAsia" w:ascii="宋体" w:hAnsi="宋体" w:eastAsia="宋体" w:cs="宋体"/>
          <w:color w:val="auto"/>
          <w:sz w:val="21"/>
          <w:szCs w:val="21"/>
          <w:highlight w:val="none"/>
        </w:rPr>
        <w:t>。</w:t>
      </w:r>
    </w:p>
    <w:bookmarkEnd w:id="629"/>
    <w:bookmarkEnd w:id="630"/>
    <w:bookmarkEnd w:id="631"/>
    <w:p w14:paraId="5D77072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7D09373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种方式：</w:t>
      </w:r>
    </w:p>
    <w:p w14:paraId="14927EC5">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（1）质量保证金保函，保函形式为银行保函〔保险保函或担保公司担保〕，金额为1.5%的工程结算价款； </w:t>
      </w:r>
    </w:p>
    <w:p w14:paraId="4A9BE5D2">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1.5%   </w:t>
      </w:r>
      <w:r>
        <w:rPr>
          <w:rFonts w:hint="eastAsia" w:ascii="宋体" w:hAnsi="宋体" w:eastAsia="宋体" w:cs="宋体"/>
          <w:color w:val="auto"/>
          <w:kern w:val="0"/>
          <w:sz w:val="21"/>
          <w:szCs w:val="21"/>
          <w:highlight w:val="none"/>
        </w:rPr>
        <w:t>的工程结算价款；</w:t>
      </w:r>
    </w:p>
    <w:p w14:paraId="12468420">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10DA66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14:paraId="50618E6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种方式：</w:t>
      </w:r>
    </w:p>
    <w:p w14:paraId="671CF921">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5951DB6F">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13F0297F">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发包人支付完成最后工程结算付款前，承包人提供质量保证金保函，保函可采用银行保函或专业担保公司或保险公司保证方式。保函须采用连带责任保函方式</w:t>
      </w:r>
      <w:r>
        <w:rPr>
          <w:rFonts w:hint="eastAsia" w:ascii="宋体" w:hAnsi="宋体" w:eastAsia="宋体" w:cs="宋体"/>
          <w:color w:val="auto"/>
          <w:kern w:val="0"/>
          <w:sz w:val="21"/>
          <w:szCs w:val="21"/>
          <w:highlight w:val="none"/>
        </w:rPr>
        <w:t>。</w:t>
      </w:r>
    </w:p>
    <w:p w14:paraId="5ED7DF4E">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sz w:val="21"/>
          <w:szCs w:val="21"/>
          <w:highlight w:val="none"/>
          <w:u w:val="single"/>
        </w:rPr>
        <w:t>承包人提供质量保证金保函后,发包人付清工程结算价款。工程实际竣工验收合格后满2年工程质量保证金保函自动失效。</w:t>
      </w:r>
    </w:p>
    <w:p w14:paraId="3B5919D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15.3.3 质量保证金的退还</w:t>
      </w:r>
    </w:p>
    <w:p w14:paraId="7A96C19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质量保证金按以下第</w:t>
      </w:r>
      <w:r>
        <w:rPr>
          <w:rFonts w:hint="eastAsia" w:ascii="宋体" w:hAnsi="宋体" w:eastAsia="宋体" w:cs="宋体"/>
          <w:color w:val="auto"/>
          <w:sz w:val="21"/>
          <w:szCs w:val="21"/>
          <w:highlight w:val="none"/>
          <w:u w:val="single"/>
        </w:rPr>
        <w:t xml:space="preserve">  （4） </w:t>
      </w:r>
      <w:r>
        <w:rPr>
          <w:rFonts w:hint="eastAsia" w:ascii="宋体" w:hAnsi="宋体" w:eastAsia="宋体" w:cs="宋体"/>
          <w:color w:val="auto"/>
          <w:sz w:val="21"/>
          <w:szCs w:val="21"/>
          <w:highlight w:val="none"/>
        </w:rPr>
        <w:t>方式退回（不计息）：</w:t>
      </w:r>
    </w:p>
    <w:p w14:paraId="07F430A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缺陷责任期终止后，发包人退还剩余的质量保证金。</w:t>
      </w:r>
    </w:p>
    <w:p w14:paraId="5220A3A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建筑工程：工程竣工验收合格后满1年返还质量保证金的30%，满2年返还全部预留的质量保证金。</w:t>
      </w:r>
    </w:p>
    <w:p w14:paraId="0035C42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市政工程：工程实际竣工验收合格后满1年可返还全部质量保证金。</w:t>
      </w:r>
    </w:p>
    <w:p w14:paraId="260AC5F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其它：</w:t>
      </w:r>
      <w:r>
        <w:rPr>
          <w:rFonts w:hint="eastAsia" w:ascii="宋体" w:hAnsi="宋体" w:eastAsia="宋体" w:cs="宋体"/>
          <w:color w:val="auto"/>
          <w:sz w:val="21"/>
          <w:szCs w:val="21"/>
          <w:highlight w:val="none"/>
          <w:u w:val="single"/>
        </w:rPr>
        <w:t>工程竣工验收合格后满2年可返还全部质量保证金（不计息，保函形式提交的不予退还，到期保函自动失效）。</w:t>
      </w:r>
    </w:p>
    <w:p w14:paraId="5B6343DB">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注：工程质量保修期以竣工验收之日起算。</w:t>
      </w:r>
    </w:p>
    <w:p w14:paraId="3EE5102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15.4保修</w:t>
      </w:r>
    </w:p>
    <w:p w14:paraId="0E79DD4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64CFD38C">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kern w:val="0"/>
          <w:sz w:val="21"/>
          <w:szCs w:val="21"/>
          <w:highlight w:val="none"/>
          <w:u w:val="single"/>
        </w:rPr>
        <w:t xml:space="preserve">按本合同附件《工程质量保修书》 </w:t>
      </w:r>
      <w:r>
        <w:rPr>
          <w:rFonts w:hint="eastAsia" w:ascii="宋体" w:hAnsi="宋体" w:eastAsia="宋体" w:cs="宋体"/>
          <w:color w:val="auto"/>
          <w:kern w:val="0"/>
          <w:sz w:val="21"/>
          <w:szCs w:val="21"/>
          <w:highlight w:val="none"/>
        </w:rPr>
        <w:t>。</w:t>
      </w:r>
    </w:p>
    <w:p w14:paraId="20739F7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647A98A5">
      <w:pPr>
        <w:pStyle w:val="8"/>
        <w:adjustRightInd w:val="0"/>
        <w:snapToGrid w:val="0"/>
        <w:spacing w:before="0" w:after="0" w:line="360" w:lineRule="exact"/>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承包人收到保修通知并到达工程现场的合理时间：</w:t>
      </w:r>
      <w:r>
        <w:rPr>
          <w:rFonts w:hint="eastAsia" w:ascii="宋体" w:hAnsi="宋体" w:eastAsia="宋体" w:cs="宋体"/>
          <w:b w:val="0"/>
          <w:bCs w:val="0"/>
          <w:color w:val="auto"/>
          <w:kern w:val="0"/>
          <w:sz w:val="21"/>
          <w:szCs w:val="21"/>
          <w:highlight w:val="none"/>
          <w:u w:val="single"/>
        </w:rPr>
        <w:t>按本合同附件《工程质量保修书》</w:t>
      </w:r>
      <w:r>
        <w:rPr>
          <w:rFonts w:hint="eastAsia" w:ascii="宋体" w:hAnsi="宋体" w:eastAsia="宋体" w:cs="宋体"/>
          <w:b w:val="0"/>
          <w:bCs w:val="0"/>
          <w:color w:val="auto"/>
          <w:kern w:val="0"/>
          <w:sz w:val="21"/>
          <w:szCs w:val="21"/>
          <w:highlight w:val="none"/>
        </w:rPr>
        <w:t>。</w:t>
      </w:r>
    </w:p>
    <w:p w14:paraId="1C4D54F1">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违约</w:t>
      </w:r>
      <w:bookmarkEnd w:id="632"/>
    </w:p>
    <w:p w14:paraId="25BDE79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发包人违约</w:t>
      </w:r>
    </w:p>
    <w:p w14:paraId="03C4F52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2A4C9BA1">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0BEFEB6E">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6010CB47">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0B62ECA4">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kern w:val="0"/>
          <w:sz w:val="21"/>
          <w:szCs w:val="21"/>
          <w:highlight w:val="none"/>
          <w:u w:val="single"/>
        </w:rPr>
        <w:t>赔偿承包人相关损失；属于专用合同条款7.3.2条约定情形的，按该条款约定处理</w:t>
      </w:r>
      <w:r>
        <w:rPr>
          <w:rFonts w:hint="eastAsia" w:ascii="宋体" w:hAnsi="宋体" w:eastAsia="宋体" w:cs="宋体"/>
          <w:color w:val="auto"/>
          <w:kern w:val="0"/>
          <w:sz w:val="21"/>
          <w:szCs w:val="21"/>
          <w:highlight w:val="none"/>
        </w:rPr>
        <w:t>。</w:t>
      </w:r>
    </w:p>
    <w:p w14:paraId="6692ECD8">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kern w:val="0"/>
          <w:sz w:val="21"/>
          <w:szCs w:val="21"/>
          <w:highlight w:val="none"/>
          <w:u w:val="single"/>
        </w:rPr>
        <w:t>支付违约金，违违约金为应付合同价款的利息；造成工期延误的顺延工期，并承担承包人的相应损失费用</w:t>
      </w:r>
      <w:r>
        <w:rPr>
          <w:rFonts w:hint="eastAsia" w:ascii="宋体" w:hAnsi="宋体" w:eastAsia="宋体" w:cs="宋体"/>
          <w:color w:val="auto"/>
          <w:kern w:val="0"/>
          <w:sz w:val="21"/>
          <w:szCs w:val="21"/>
          <w:highlight w:val="none"/>
        </w:rPr>
        <w:t>。</w:t>
      </w:r>
    </w:p>
    <w:p w14:paraId="7A15ADCC">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659901AA">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造成工期延误的顺延工期，并承担增加的造价及承包人的相应损失费用等</w:t>
      </w:r>
      <w:r>
        <w:rPr>
          <w:rFonts w:hint="eastAsia" w:ascii="宋体" w:hAnsi="宋体" w:eastAsia="宋体" w:cs="宋体"/>
          <w:color w:val="auto"/>
          <w:kern w:val="0"/>
          <w:sz w:val="21"/>
          <w:szCs w:val="21"/>
          <w:highlight w:val="none"/>
        </w:rPr>
        <w:t>。</w:t>
      </w:r>
    </w:p>
    <w:p w14:paraId="2F44112F">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造成工期延误的顺延工期，并承担增加的造价及承包人的相应损失费用等</w:t>
      </w:r>
      <w:r>
        <w:rPr>
          <w:rFonts w:hint="eastAsia" w:ascii="宋体" w:hAnsi="宋体" w:eastAsia="宋体" w:cs="宋体"/>
          <w:color w:val="auto"/>
          <w:kern w:val="0"/>
          <w:sz w:val="21"/>
          <w:szCs w:val="21"/>
          <w:highlight w:val="none"/>
        </w:rPr>
        <w:t>。</w:t>
      </w:r>
    </w:p>
    <w:p w14:paraId="58EB8943">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造成工期延误的顺延工期</w:t>
      </w:r>
      <w:r>
        <w:rPr>
          <w:rFonts w:hint="eastAsia" w:ascii="宋体" w:hAnsi="宋体" w:eastAsia="宋体" w:cs="宋体"/>
          <w:color w:val="auto"/>
          <w:kern w:val="0"/>
          <w:sz w:val="21"/>
          <w:szCs w:val="21"/>
          <w:highlight w:val="none"/>
        </w:rPr>
        <w:t>。</w:t>
      </w:r>
    </w:p>
    <w:p w14:paraId="2A31DC2D">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15B1544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6CFD3B4A">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90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1CC541E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承包人违约</w:t>
      </w:r>
    </w:p>
    <w:p w14:paraId="0446C826">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37359AD3">
      <w:pPr>
        <w:adjustRightInd w:val="0"/>
        <w:snapToGrid w:val="0"/>
        <w:spacing w:line="3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承包人违约的其他情形：</w:t>
      </w:r>
    </w:p>
    <w:p w14:paraId="20C37CC8">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机械设备、施工项目班子未按投标承诺及时到位；</w:t>
      </w:r>
    </w:p>
    <w:p w14:paraId="65341B7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本工程在实施过程中，承包人的施工队伍素质、施工力量、现场安全文明施工不符合投标书的承诺，造成现场管理混乱、工程质量或进度达不到投标所承诺的要求；</w:t>
      </w:r>
    </w:p>
    <w:p w14:paraId="596E804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承包人允许/存在其他人挂靠经营、私自转包情形</w:t>
      </w:r>
      <w:r>
        <w:rPr>
          <w:rFonts w:hint="eastAsia" w:ascii="宋体" w:hAnsi="宋体" w:eastAsia="宋体" w:cs="宋体"/>
          <w:color w:val="auto"/>
          <w:sz w:val="21"/>
          <w:szCs w:val="21"/>
          <w:highlight w:val="none"/>
        </w:rPr>
        <w:t>；</w:t>
      </w:r>
    </w:p>
    <w:p w14:paraId="627E035D">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承包人未达到投标时所承诺的诚信、技术标准及创优、创标化工程目标。</w:t>
      </w:r>
    </w:p>
    <w:p w14:paraId="61BBD6D2">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2A1CDAAA">
      <w:pPr>
        <w:adjustRightInd w:val="0"/>
        <w:snapToGrid w:val="0"/>
        <w:spacing w:line="360" w:lineRule="exact"/>
        <w:ind w:firstLine="525" w:firstLineChars="2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承包人违约责任的承担方式和计算方法：</w:t>
      </w:r>
    </w:p>
    <w:p w14:paraId="5FEF13CB">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机械设备未按投标承诺到位，每项扣除履约担保金2%；</w:t>
      </w:r>
    </w:p>
    <w:p w14:paraId="569B85F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现场安全文明施工不符合投标书承诺，扣减相应安全文明施工费用；承包人原因造成现场管理混乱、工程质量和进度达不到投标承诺的要求，发包人有权要求承包人调整充实施工力量、更换项目班子，及至解除施工合同，所有履约担保金归发包人，承包人应赔偿发包人因此造成的所有损失（含对第三方的违约损失、项目逾期损失、重新招投标产生的费用等）。</w:t>
      </w:r>
    </w:p>
    <w:p w14:paraId="52C59C2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发现承包人允许其他人挂靠经营、私自转包，所有履约担保归发包人，同时赔偿发包人损失，并责令退出工地。</w:t>
      </w:r>
    </w:p>
    <w:p w14:paraId="7D9BE3C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未达到投标所承诺的诚信、技术标准及创优、创标化工程目标，按每一项扣减履约担保金的10%。</w:t>
      </w:r>
    </w:p>
    <w:p w14:paraId="589C57A9">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承包人原因导致的工程延误，工期不予顺延，由工期延误引起人工、材料价格上涨由承包人承担，按原合同约定价格结算；价格下降归发包人受益，按下降后价格结算。工期顺延对发包人造成损失的，赔偿发包人相应损失。当施工工期大于合同工期的150%以上（发包人签证工期除外）时，可解除施工合同，承包人应赔偿发包人因此造成的所有损失（含对第三方的违约损失、项目逾期损失、重新招投标产生的费用等）。</w:t>
      </w:r>
    </w:p>
    <w:p w14:paraId="559653D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承包人无法继续履行、明确表示不履行或实质上已停止履行合同，发包人可通知承包人全部解除合同，所有履约担保归发包人，承包人应赔偿发包人因此造成的所有损失（含对第三方的违约损失、项目逾期损失、重新招投标产生的费用等）。</w:t>
      </w:r>
    </w:p>
    <w:p w14:paraId="4ECE003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0BD174C6">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p>
    <w:p w14:paraId="774B024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施工现场满足开工条件，且承包人接到发包人发出的开工令后7天内，不进行正常施工的，发包人有权单方面解除合同，所有履约担保归发包人，承包人应赔偿发包人因此造成的所有损失（含对第三方的违约损失、重新招投标产生的费用等）；</w:t>
      </w:r>
    </w:p>
    <w:p w14:paraId="3F71982E">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因承包人原因造成本合同无法履行时，发包人有权解除或终止本合同，没收承包人的履约保证金，由此造成的各项损失均由承包人承担；</w:t>
      </w:r>
    </w:p>
    <w:p w14:paraId="2669F63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双方签署解除协议后（含单方解除协议），现场已完成工程量和已支付工程款（含预付款）按实计算，承包人必须在30日历天内清场并将施工场地交还发包人待发包人审定后30日历天内支付，承包人不得因任何原因拒绝清场。承包人拒不交还场地等的，由此造成的各项损失均由承包人承担。</w:t>
      </w:r>
    </w:p>
    <w:p w14:paraId="3E5E1A0A">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highlight w:val="none"/>
          <w:u w:val="single"/>
        </w:rPr>
        <w:t>使用施工现场的材料、设备按实结算，使用施工机械、器具按租赁费结算，临时工程折算成费用按完成造价比例计算，无偿使用承包人为本工程施工所编制的相应文件等。</w:t>
      </w:r>
    </w:p>
    <w:p w14:paraId="11F3A933">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16.2.4 因承包人违约解除合同后的处理：</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kern w:val="0"/>
          <w:sz w:val="21"/>
          <w:szCs w:val="21"/>
          <w:highlight w:val="none"/>
        </w:rPr>
        <w:t>。</w:t>
      </w:r>
    </w:p>
    <w:p w14:paraId="2B814004">
      <w:pPr>
        <w:pStyle w:val="8"/>
        <w:adjustRightInd w:val="0"/>
        <w:snapToGrid w:val="0"/>
        <w:spacing w:before="0" w:after="0" w:line="360" w:lineRule="exact"/>
        <w:ind w:firstLine="422" w:firstLineChars="200"/>
        <w:rPr>
          <w:rFonts w:hint="eastAsia" w:ascii="宋体" w:hAnsi="宋体" w:eastAsia="宋体" w:cs="宋体"/>
          <w:b w:val="0"/>
          <w:color w:val="auto"/>
          <w:sz w:val="21"/>
          <w:szCs w:val="21"/>
          <w:highlight w:val="none"/>
        </w:rPr>
      </w:pPr>
      <w:bookmarkStart w:id="657" w:name="_Toc351203649"/>
      <w:r>
        <w:rPr>
          <w:rFonts w:hint="eastAsia" w:ascii="宋体" w:hAnsi="宋体" w:eastAsia="宋体" w:cs="宋体"/>
          <w:color w:val="auto"/>
          <w:sz w:val="21"/>
          <w:szCs w:val="21"/>
          <w:highlight w:val="none"/>
        </w:rPr>
        <w:t>17. 不可抗力</w:t>
      </w:r>
      <w:bookmarkEnd w:id="657"/>
      <w:r>
        <w:rPr>
          <w:rFonts w:hint="eastAsia" w:ascii="宋体" w:hAnsi="宋体" w:eastAsia="宋体" w:cs="宋体"/>
          <w:b w:val="0"/>
          <w:color w:val="auto"/>
          <w:sz w:val="21"/>
          <w:szCs w:val="21"/>
          <w:highlight w:val="none"/>
        </w:rPr>
        <w:t xml:space="preserve"> </w:t>
      </w:r>
      <w:bookmarkEnd w:id="633"/>
    </w:p>
    <w:p w14:paraId="088CD91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不可抗力的确认</w:t>
      </w:r>
    </w:p>
    <w:p w14:paraId="283DB20D">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除通用合同条款约定的不可抗力事件之外，视为不可抗力的其他情形：</w:t>
      </w:r>
      <w:r>
        <w:rPr>
          <w:rFonts w:hint="eastAsia" w:ascii="宋体" w:hAnsi="宋体" w:eastAsia="宋体" w:cs="宋体"/>
          <w:color w:val="auto"/>
          <w:sz w:val="21"/>
          <w:szCs w:val="21"/>
          <w:highlight w:val="none"/>
          <w:u w:val="single"/>
        </w:rPr>
        <w:t>10级（不含10级）以上台风、10年一遇洪水、暴风雪、干旱， 罢工、政府禁令</w:t>
      </w:r>
      <w:r>
        <w:rPr>
          <w:rFonts w:hint="eastAsia" w:ascii="宋体" w:hAnsi="宋体" w:eastAsia="宋体" w:cs="宋体"/>
          <w:color w:val="auto"/>
          <w:kern w:val="0"/>
          <w:sz w:val="21"/>
          <w:szCs w:val="21"/>
          <w:highlight w:val="none"/>
        </w:rPr>
        <w:t>。</w:t>
      </w:r>
    </w:p>
    <w:p w14:paraId="707DE7E4">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 不可抗力后果的承担</w:t>
      </w:r>
    </w:p>
    <w:p w14:paraId="7365EB65">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按通用条款。</w:t>
      </w:r>
    </w:p>
    <w:p w14:paraId="4FE17EE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因不可抗力解除合同</w:t>
      </w:r>
    </w:p>
    <w:p w14:paraId="2242E79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90 </w:t>
      </w:r>
      <w:r>
        <w:rPr>
          <w:rFonts w:hint="eastAsia" w:ascii="宋体" w:hAnsi="宋体" w:eastAsia="宋体" w:cs="宋体"/>
          <w:color w:val="auto"/>
          <w:sz w:val="21"/>
          <w:szCs w:val="21"/>
          <w:highlight w:val="none"/>
        </w:rPr>
        <w:t>天内完成款项的支付。</w:t>
      </w:r>
    </w:p>
    <w:p w14:paraId="00996CA8">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658" w:name="_Toc351203650"/>
      <w:r>
        <w:rPr>
          <w:rFonts w:hint="eastAsia" w:ascii="宋体" w:hAnsi="宋体" w:eastAsia="宋体" w:cs="宋体"/>
          <w:color w:val="auto"/>
          <w:sz w:val="21"/>
          <w:szCs w:val="21"/>
          <w:highlight w:val="none"/>
        </w:rPr>
        <w:t>18. 保险</w:t>
      </w:r>
      <w:bookmarkEnd w:id="658"/>
    </w:p>
    <w:bookmarkEnd w:id="634"/>
    <w:p w14:paraId="60A8934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工程保险</w:t>
      </w:r>
    </w:p>
    <w:p w14:paraId="5288DC5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承包人须为工程施工人员办理人身意外伤害保险，并为施工场内自有人员生命财产和施工机械设备办理保险，保险费用由承包人自行承担并支付，费用包含在投标报价中</w:t>
      </w:r>
      <w:r>
        <w:rPr>
          <w:rFonts w:hint="eastAsia" w:ascii="宋体" w:hAnsi="宋体" w:eastAsia="宋体" w:cs="宋体"/>
          <w:color w:val="auto"/>
          <w:kern w:val="0"/>
          <w:sz w:val="21"/>
          <w:szCs w:val="21"/>
          <w:highlight w:val="none"/>
        </w:rPr>
        <w:t>。</w:t>
      </w:r>
    </w:p>
    <w:p w14:paraId="080B525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其他保险</w:t>
      </w:r>
    </w:p>
    <w:p w14:paraId="1B2D26B1">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rPr>
        <w:t>按通用条款执行</w:t>
      </w:r>
      <w:r>
        <w:rPr>
          <w:rFonts w:hint="eastAsia" w:ascii="宋体" w:hAnsi="宋体" w:eastAsia="宋体" w:cs="宋体"/>
          <w:color w:val="auto"/>
          <w:kern w:val="0"/>
          <w:sz w:val="21"/>
          <w:szCs w:val="21"/>
          <w:highlight w:val="none"/>
        </w:rPr>
        <w:t>。</w:t>
      </w:r>
    </w:p>
    <w:p w14:paraId="1D787458">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承包人须为其施工现场的全部人员（包括其员工及为履行合同聘请的第三方人员）办理人身意外伤害保险，并为其施工机械设备办理保险，保险费用由承包人自行承担并支付，费用包含在投标报价中</w:t>
      </w:r>
      <w:r>
        <w:rPr>
          <w:rFonts w:hint="eastAsia" w:ascii="宋体" w:hAnsi="宋体" w:eastAsia="宋体" w:cs="宋体"/>
          <w:color w:val="auto"/>
          <w:sz w:val="21"/>
          <w:szCs w:val="21"/>
          <w:highlight w:val="none"/>
        </w:rPr>
        <w:t>。</w:t>
      </w:r>
    </w:p>
    <w:p w14:paraId="6233A9B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 通知义务</w:t>
      </w:r>
    </w:p>
    <w:p w14:paraId="24A9D3B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bookmarkEnd w:id="635"/>
    <w:bookmarkEnd w:id="636"/>
    <w:bookmarkEnd w:id="637"/>
    <w:bookmarkEnd w:id="638"/>
    <w:bookmarkEnd w:id="639"/>
    <w:bookmarkEnd w:id="640"/>
    <w:bookmarkEnd w:id="641"/>
    <w:bookmarkEnd w:id="642"/>
    <w:bookmarkEnd w:id="643"/>
    <w:bookmarkEnd w:id="644"/>
    <w:bookmarkEnd w:id="645"/>
    <w:bookmarkEnd w:id="646"/>
    <w:p w14:paraId="5836CA29">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659" w:name="_Toc351203651"/>
      <w:r>
        <w:rPr>
          <w:rFonts w:hint="eastAsia" w:ascii="宋体" w:hAnsi="宋体" w:eastAsia="宋体" w:cs="宋体"/>
          <w:color w:val="auto"/>
          <w:sz w:val="21"/>
          <w:szCs w:val="21"/>
          <w:highlight w:val="none"/>
        </w:rPr>
        <w:t>20. 争议解决</w:t>
      </w:r>
      <w:bookmarkEnd w:id="659"/>
    </w:p>
    <w:bookmarkEnd w:id="647"/>
    <w:bookmarkEnd w:id="648"/>
    <w:p w14:paraId="32E6C1F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争</w:t>
      </w:r>
      <w:bookmarkEnd w:id="649"/>
      <w:r>
        <w:rPr>
          <w:rFonts w:hint="eastAsia" w:ascii="宋体" w:hAnsi="宋体" w:eastAsia="宋体" w:cs="宋体"/>
          <w:color w:val="auto"/>
          <w:sz w:val="21"/>
          <w:szCs w:val="21"/>
          <w:highlight w:val="none"/>
        </w:rPr>
        <w:t>议评审</w:t>
      </w:r>
    </w:p>
    <w:p w14:paraId="6286E106">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否。</w:t>
      </w:r>
    </w:p>
    <w:p w14:paraId="1FFBBA8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613431C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5038D8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FEC639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6194BD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54D0228A">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33E453A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14:paraId="35FE01A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20.3.3 争议评审小组决定的效力：</w:t>
      </w:r>
      <w:r>
        <w:rPr>
          <w:rFonts w:hint="eastAsia" w:ascii="宋体" w:hAnsi="宋体" w:eastAsia="宋体" w:cs="宋体"/>
          <w:color w:val="auto"/>
          <w:sz w:val="21"/>
          <w:szCs w:val="21"/>
          <w:highlight w:val="none"/>
          <w:u w:val="single"/>
        </w:rPr>
        <w:t>按合同通用条款执行。</w:t>
      </w:r>
    </w:p>
    <w:p w14:paraId="308F34C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20.4仲裁或诉讼</w:t>
      </w:r>
      <w:bookmarkEnd w:id="650"/>
    </w:p>
    <w:p w14:paraId="14FB267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729E1EE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台州市 </w:t>
      </w:r>
      <w:r>
        <w:rPr>
          <w:rFonts w:hint="eastAsia" w:ascii="宋体" w:hAnsi="宋体" w:eastAsia="宋体" w:cs="宋体"/>
          <w:color w:val="auto"/>
          <w:sz w:val="21"/>
          <w:szCs w:val="21"/>
          <w:highlight w:val="none"/>
        </w:rPr>
        <w:t>仲裁委员会申请仲裁；</w:t>
      </w:r>
    </w:p>
    <w:p w14:paraId="689D75D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项目所在地    </w:t>
      </w:r>
      <w:r>
        <w:rPr>
          <w:rFonts w:hint="eastAsia" w:ascii="宋体" w:hAnsi="宋体" w:eastAsia="宋体" w:cs="宋体"/>
          <w:color w:val="auto"/>
          <w:sz w:val="21"/>
          <w:szCs w:val="21"/>
          <w:highlight w:val="none"/>
        </w:rPr>
        <w:t>人民法院起诉。</w:t>
      </w:r>
      <w:bookmarkEnd w:id="651"/>
      <w:bookmarkEnd w:id="652"/>
      <w:bookmarkEnd w:id="653"/>
      <w:bookmarkEnd w:id="654"/>
      <w:bookmarkEnd w:id="655"/>
      <w:bookmarkEnd w:id="656"/>
    </w:p>
    <w:p w14:paraId="79FB3F41">
      <w:pPr>
        <w:pStyle w:val="64"/>
        <w:snapToGrid w:val="0"/>
        <w:spacing w:before="0" w:after="0" w:line="360" w:lineRule="exact"/>
        <w:ind w:left="0" w:right="0" w:firstLine="422" w:firstLineChars="200"/>
        <w:jc w:val="both"/>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21．补充条款</w:t>
      </w:r>
    </w:p>
    <w:p w14:paraId="57B56DA1">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21.1监理人在处理以下事项时必须经发包人审查同意、书面签认后，方可将确认结果回复予承包人，未经发包人书面签认的答复无效：</w:t>
      </w:r>
    </w:p>
    <w:p w14:paraId="5B1223AA">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（1）工程计量；</w:t>
      </w:r>
    </w:p>
    <w:p w14:paraId="39A69DD6">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（2）工程价款（包括工程预付款、进度款、结算款）的确认和支付；</w:t>
      </w:r>
    </w:p>
    <w:p w14:paraId="5872BA6D">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（3）工程变更和价格调整；</w:t>
      </w:r>
    </w:p>
    <w:p w14:paraId="300F164A">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（4）竣工结算；</w:t>
      </w:r>
    </w:p>
    <w:p w14:paraId="0139DA0B">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（5）工期确认（包括开工日期、竣工日期、工期延误的确认）；</w:t>
      </w:r>
    </w:p>
    <w:p w14:paraId="0FB4C7D0">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（6）索赔处理。</w:t>
      </w:r>
    </w:p>
    <w:p w14:paraId="2B1F91D9">
      <w:pPr>
        <w:pStyle w:val="25"/>
        <w:widowControl/>
        <w:adjustRightInd w:val="0"/>
        <w:snapToGrid w:val="0"/>
        <w:spacing w:line="360" w:lineRule="exact"/>
        <w:ind w:firstLine="420" w:firstLineChars="200"/>
        <w:rPr>
          <w:rFonts w:hint="eastAsia" w:hAnsi="宋体" w:cs="宋体"/>
          <w:color w:val="auto"/>
          <w:kern w:val="0"/>
          <w:szCs w:val="21"/>
          <w:highlight w:val="none"/>
          <w:u w:val="single"/>
        </w:rPr>
      </w:pPr>
      <w:r>
        <w:rPr>
          <w:rFonts w:hint="eastAsia" w:hAnsi="宋体" w:cs="宋体"/>
          <w:color w:val="auto"/>
          <w:szCs w:val="21"/>
          <w:highlight w:val="none"/>
          <w:u w:val="single"/>
        </w:rPr>
        <w:t>21.2</w:t>
      </w:r>
      <w:r>
        <w:rPr>
          <w:rFonts w:hint="eastAsia" w:hAnsi="宋体" w:cs="宋体"/>
          <w:color w:val="auto"/>
          <w:kern w:val="0"/>
          <w:szCs w:val="21"/>
          <w:highlight w:val="none"/>
          <w:u w:val="single"/>
        </w:rPr>
        <w:t>承包人承诺按时支付民工工资，如因发放工资不到位造成新闻媒体或政府部门的追究，由发包人从工程进度款中代付应付的工资。如本项目发生因人工工资导致的上访、投诉、媒体上有不良曝光等情况的，视为承包人违约，发包人将从承包人的最近期进度款中优先偿付，并在履约担保中追偿合同金额1%的违约金。</w:t>
      </w:r>
    </w:p>
    <w:p w14:paraId="05A2A198">
      <w:pPr>
        <w:pStyle w:val="25"/>
        <w:widowControl/>
        <w:adjustRightInd w:val="0"/>
        <w:snapToGrid w:val="0"/>
        <w:spacing w:line="360" w:lineRule="exact"/>
        <w:ind w:firstLine="420" w:firstLineChars="200"/>
        <w:rPr>
          <w:rFonts w:hint="eastAsia" w:hAnsi="宋体" w:cs="宋体"/>
          <w:color w:val="auto"/>
          <w:kern w:val="0"/>
          <w:szCs w:val="21"/>
          <w:highlight w:val="none"/>
          <w:u w:val="single"/>
        </w:rPr>
      </w:pPr>
      <w:r>
        <w:rPr>
          <w:rFonts w:hint="eastAsia" w:hAnsi="宋体" w:cs="宋体"/>
          <w:color w:val="auto"/>
          <w:kern w:val="0"/>
          <w:szCs w:val="21"/>
          <w:highlight w:val="none"/>
          <w:u w:val="single"/>
        </w:rPr>
        <w:t>21.3本工程的施工现场执行《建筑施工安全检查标准》（JGJ59-2011）。承包人必须按国家有关规定，切实落实各项安全技术措施，确保施工现场的安全生产和文明施工。在施工过程中由于承包人原因而发生的人身伤亡、财产损失及其它一切事故，其责任全部由承包人承担。</w:t>
      </w:r>
    </w:p>
    <w:p w14:paraId="7F5EDBC0">
      <w:pPr>
        <w:pStyle w:val="25"/>
        <w:keepNext w:val="0"/>
        <w:keepLines w:val="0"/>
        <w:pageBreakBefore w:val="0"/>
        <w:widowControl/>
        <w:kinsoku/>
        <w:wordWrap/>
        <w:overflowPunct/>
        <w:bidi w:val="0"/>
        <w:adjustRightInd w:val="0"/>
        <w:spacing w:line="360" w:lineRule="exact"/>
        <w:ind w:firstLine="420" w:firstLineChars="200"/>
        <w:jc w:val="both"/>
        <w:textAlignment w:val="auto"/>
        <w:rPr>
          <w:rFonts w:hint="eastAsia" w:ascii="宋体" w:hAnsi="宋体" w:eastAsia="宋体" w:cs="宋体"/>
          <w:b w:val="0"/>
          <w:color w:val="auto"/>
          <w:kern w:val="0"/>
          <w:sz w:val="21"/>
          <w:szCs w:val="21"/>
          <w:highlight w:val="none"/>
          <w:u w:val="single"/>
        </w:rPr>
      </w:pPr>
      <w:r>
        <w:rPr>
          <w:rFonts w:hint="eastAsia" w:hAnsi="宋体" w:cs="宋体"/>
          <w:color w:val="auto"/>
          <w:kern w:val="0"/>
          <w:szCs w:val="21"/>
          <w:highlight w:val="none"/>
          <w:u w:val="single"/>
        </w:rPr>
        <w:t>21.4</w:t>
      </w:r>
      <w:r>
        <w:rPr>
          <w:rFonts w:hint="eastAsia" w:ascii="宋体" w:hAnsi="宋体" w:eastAsia="宋体" w:cs="宋体"/>
          <w:b w:val="0"/>
          <w:color w:val="auto"/>
          <w:kern w:val="0"/>
          <w:sz w:val="21"/>
          <w:szCs w:val="21"/>
          <w:highlight w:val="none"/>
          <w:u w:val="single"/>
        </w:rPr>
        <w:t>如发生承包人原因造成工期延误，承包人向发包人支付误期赔偿费后，并不免除或减轻由此引发的监理延长服务时间所需的监理费，此费用由承包人承担酬金支付，相关服务收费按相关服务工作所需工日和《建设工程监理与相关服务人员人工日费用标准》（建设工程监理与相关服务收费管理规定附表四）收费。</w:t>
      </w:r>
    </w:p>
    <w:p w14:paraId="25598886">
      <w:pPr>
        <w:keepNext w:val="0"/>
        <w:keepLines w:val="0"/>
        <w:pageBreakBefore w:val="0"/>
        <w:kinsoku/>
        <w:wordWrap/>
        <w:overflowPunct/>
        <w:autoSpaceDE w:val="0"/>
        <w:autoSpaceDN w:val="0"/>
        <w:bidi w:val="0"/>
        <w:spacing w:line="360" w:lineRule="exact"/>
        <w:ind w:firstLine="420" w:firstLineChars="200"/>
        <w:jc w:val="both"/>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21.</w:t>
      </w:r>
      <w:r>
        <w:rPr>
          <w:rFonts w:hint="eastAsia" w:ascii="宋体" w:hAnsi="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承包须按文明施工要求施工，工完场清，清理费用承包人自行承担。</w:t>
      </w:r>
    </w:p>
    <w:p w14:paraId="0B907A2A">
      <w:pPr>
        <w:keepNext w:val="0"/>
        <w:keepLines w:val="0"/>
        <w:pageBreakBefore w:val="0"/>
        <w:kinsoku/>
        <w:wordWrap/>
        <w:overflowPunct/>
        <w:autoSpaceDE w:val="0"/>
        <w:autoSpaceDN w:val="0"/>
        <w:bidi w:val="0"/>
        <w:spacing w:line="360" w:lineRule="exact"/>
        <w:ind w:firstLine="420" w:firstLineChars="200"/>
        <w:jc w:val="both"/>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u w:val="single"/>
        </w:rPr>
        <w:t>21.</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双方同意，若对本工程质量有争议，则由发包人指定的鉴定机构鉴定，鉴定费用由造成质量瑕疵的责任方承担。</w:t>
      </w:r>
    </w:p>
    <w:p w14:paraId="39E703F6">
      <w:pPr>
        <w:keepNext w:val="0"/>
        <w:keepLines w:val="0"/>
        <w:pageBreakBefore w:val="0"/>
        <w:kinsoku/>
        <w:wordWrap/>
        <w:overflowPunct/>
        <w:autoSpaceDE w:val="0"/>
        <w:autoSpaceDN w:val="0"/>
        <w:bidi w:val="0"/>
        <w:spacing w:line="360" w:lineRule="exact"/>
        <w:ind w:firstLine="420" w:firstLineChars="200"/>
        <w:jc w:val="both"/>
        <w:textAlignment w:val="auto"/>
        <w:rPr>
          <w:rFonts w:hint="eastAsia" w:ascii="宋体" w:hAns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u w:val="single"/>
          <w:lang w:val="en-US" w:eastAsia="zh-CN"/>
        </w:rPr>
        <w:t>21.7</w:t>
      </w:r>
      <w:r>
        <w:rPr>
          <w:rFonts w:hint="eastAsia" w:ascii="宋体" w:hAnsi="宋体" w:eastAsia="宋体" w:cs="宋体"/>
          <w:color w:val="auto"/>
          <w:kern w:val="0"/>
          <w:sz w:val="21"/>
          <w:szCs w:val="21"/>
          <w:highlight w:val="none"/>
          <w:u w:val="single"/>
        </w:rPr>
        <w:t>承包人必须严格按照图纸、规范、技术规程进行施工，否则，针对施工质量、进度、安全等方面，在质量监督站、建工处等主管部门的监督下，监理方可视情形对承包人进行经济处罚，相关费用</w:t>
      </w:r>
      <w:r>
        <w:rPr>
          <w:rFonts w:hint="eastAsia" w:ascii="宋体" w:hAnsi="宋体" w:eastAsia="宋体" w:cs="宋体"/>
          <w:color w:val="auto"/>
          <w:kern w:val="0"/>
          <w:sz w:val="21"/>
          <w:szCs w:val="21"/>
          <w:highlight w:val="none"/>
          <w:u w:val="single"/>
          <w:lang w:val="en-US" w:eastAsia="zh-CN"/>
        </w:rPr>
        <w:t>发包人可直接从工程款中扣除。</w:t>
      </w:r>
    </w:p>
    <w:p w14:paraId="32C3534B">
      <w:pPr>
        <w:pStyle w:val="25"/>
        <w:widowControl/>
        <w:adjustRightInd w:val="0"/>
        <w:snapToGrid w:val="0"/>
        <w:spacing w:line="360" w:lineRule="exact"/>
        <w:ind w:firstLine="420" w:firstLineChars="200"/>
        <w:rPr>
          <w:rFonts w:hint="eastAsia" w:hAnsi="宋体" w:cs="宋体"/>
          <w:color w:val="auto"/>
          <w:szCs w:val="21"/>
          <w:highlight w:val="none"/>
          <w:u w:val="single"/>
        </w:rPr>
      </w:pPr>
    </w:p>
    <w:p w14:paraId="401965AE">
      <w:pPr>
        <w:pStyle w:val="25"/>
        <w:adjustRightInd w:val="0"/>
        <w:spacing w:line="360" w:lineRule="exact"/>
        <w:ind w:firstLine="420" w:firstLineChars="200"/>
        <w:rPr>
          <w:rFonts w:hint="eastAsia" w:hAnsi="宋体" w:cs="宋体"/>
          <w:b/>
          <w:color w:val="auto"/>
          <w:szCs w:val="21"/>
          <w:highlight w:val="none"/>
        </w:rPr>
      </w:pPr>
      <w:bookmarkStart w:id="660" w:name="_Toc351203652"/>
      <w:r>
        <w:rPr>
          <w:rFonts w:hint="eastAsia" w:hAnsi="宋体" w:cs="宋体"/>
          <w:color w:val="auto"/>
          <w:szCs w:val="21"/>
          <w:highlight w:val="none"/>
        </w:rPr>
        <w:br w:type="page"/>
      </w:r>
      <w:r>
        <w:rPr>
          <w:rFonts w:hint="eastAsia" w:hAnsi="宋体" w:cs="宋体"/>
          <w:color w:val="auto"/>
          <w:szCs w:val="21"/>
          <w:highlight w:val="none"/>
        </w:rPr>
        <w:t>附件</w:t>
      </w:r>
      <w:bookmarkEnd w:id="660"/>
    </w:p>
    <w:p w14:paraId="1B02AC44">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313FCC55">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附件1：承包人承揽工程项目一览表（略）</w:t>
      </w:r>
    </w:p>
    <w:p w14:paraId="1961E6CF">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7EF4B0A0">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附件2：发包人供应材料设备一览表（略）</w:t>
      </w:r>
    </w:p>
    <w:p w14:paraId="3E29986E">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6A721F65">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附件4：主要建设工程文件目录（略）</w:t>
      </w:r>
    </w:p>
    <w:p w14:paraId="181568F4">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附件5：承包人用于本工程施工的机械设备表（略）</w:t>
      </w:r>
    </w:p>
    <w:p w14:paraId="3E2E2F02">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附件6：承包人主要施工管理人员表（略）</w:t>
      </w:r>
    </w:p>
    <w:p w14:paraId="45FE499D">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附件7：承包人主要施工管理人员表（略）</w:t>
      </w:r>
    </w:p>
    <w:p w14:paraId="6AF1775D">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附件8：履约担保格式（略）</w:t>
      </w:r>
    </w:p>
    <w:p w14:paraId="19981613">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附件9：预付款担保格式（略）</w:t>
      </w:r>
    </w:p>
    <w:p w14:paraId="26B4F483">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附件10：支付担保格式（略）</w:t>
      </w:r>
    </w:p>
    <w:p w14:paraId="3786CDDC">
      <w:pPr>
        <w:spacing w:line="360" w:lineRule="exact"/>
        <w:ind w:firstLine="420" w:firstLineChars="200"/>
        <w:rPr>
          <w:rFonts w:hint="eastAsia" w:ascii="宋体" w:hAnsi="宋体" w:eastAsia="宋体" w:cs="宋体"/>
          <w:color w:val="auto"/>
          <w:sz w:val="21"/>
          <w:szCs w:val="21"/>
          <w:highlight w:val="none"/>
        </w:rPr>
        <w:sectPr>
          <w:pgSz w:w="11906" w:h="16838"/>
          <w:pgMar w:top="1418" w:right="1554" w:bottom="1418" w:left="1531" w:header="851" w:footer="992" w:gutter="0"/>
          <w:cols w:space="720" w:num="1"/>
          <w:docGrid w:type="lines" w:linePitch="312" w:charSpace="0"/>
        </w:sectPr>
      </w:pPr>
      <w:r>
        <w:rPr>
          <w:rFonts w:hint="eastAsia" w:ascii="宋体" w:hAnsi="宋体" w:eastAsia="宋体" w:cs="宋体"/>
          <w:color w:val="auto"/>
          <w:sz w:val="21"/>
          <w:szCs w:val="21"/>
          <w:highlight w:val="none"/>
        </w:rPr>
        <w:t>附件11：暂估价一览表（略）</w:t>
      </w:r>
    </w:p>
    <w:p w14:paraId="0DA08EF6">
      <w:pPr>
        <w:pStyle w:val="8"/>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661" w:name="_Toc296944565"/>
      <w:bookmarkStart w:id="662" w:name="_Toc267261693"/>
      <w:bookmarkStart w:id="663" w:name="_Toc296891266"/>
      <w:bookmarkStart w:id="664" w:name="_Toc296347225"/>
      <w:bookmarkStart w:id="665" w:name="_Toc296346727"/>
      <w:bookmarkStart w:id="666" w:name="_Toc296891054"/>
      <w:bookmarkStart w:id="667" w:name="_Toc296503226"/>
      <w:r>
        <w:rPr>
          <w:rFonts w:hint="eastAsia" w:ascii="宋体" w:hAnsi="宋体" w:eastAsia="宋体" w:cs="宋体"/>
          <w:color w:val="auto"/>
          <w:sz w:val="21"/>
          <w:szCs w:val="21"/>
          <w:highlight w:val="none"/>
        </w:rPr>
        <w:t>件3：</w:t>
      </w:r>
      <w:bookmarkEnd w:id="661"/>
      <w:bookmarkEnd w:id="662"/>
      <w:bookmarkEnd w:id="663"/>
      <w:bookmarkEnd w:id="664"/>
      <w:bookmarkEnd w:id="665"/>
      <w:bookmarkEnd w:id="666"/>
      <w:bookmarkEnd w:id="667"/>
      <w:r>
        <w:rPr>
          <w:rFonts w:hint="eastAsia" w:ascii="宋体" w:hAnsi="宋体" w:eastAsia="宋体" w:cs="宋体"/>
          <w:color w:val="auto"/>
          <w:sz w:val="21"/>
          <w:szCs w:val="21"/>
          <w:highlight w:val="none"/>
        </w:rPr>
        <w:t xml:space="preserve">    </w:t>
      </w:r>
    </w:p>
    <w:p w14:paraId="76E8DCE9">
      <w:pPr>
        <w:spacing w:line="360" w:lineRule="exact"/>
        <w:ind w:firstLine="640" w:firstLine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Cs w:val="32"/>
          <w:highlight w:val="none"/>
        </w:rPr>
        <w:t>工程质量保修书</w:t>
      </w:r>
    </w:p>
    <w:p w14:paraId="5B8E8733">
      <w:pPr>
        <w:spacing w:line="360" w:lineRule="exact"/>
        <w:ind w:firstLine="420" w:firstLineChars="200"/>
        <w:rPr>
          <w:rFonts w:hint="eastAsia" w:ascii="宋体" w:hAnsi="宋体" w:eastAsia="宋体" w:cs="宋体"/>
          <w:bCs/>
          <w:color w:val="auto"/>
          <w:sz w:val="21"/>
          <w:szCs w:val="21"/>
          <w:highlight w:val="none"/>
        </w:rPr>
      </w:pPr>
    </w:p>
    <w:p w14:paraId="10722785">
      <w:pPr>
        <w:adjustRightInd w:val="0"/>
        <w:snapToGrid w:val="0"/>
        <w:spacing w:line="360" w:lineRule="exact"/>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发包人（全称）：</w:t>
      </w:r>
      <w:r>
        <w:rPr>
          <w:rFonts w:hint="eastAsia" w:ascii="宋体" w:hAnsi="宋体" w:eastAsia="宋体" w:cs="宋体"/>
          <w:color w:val="auto"/>
          <w:sz w:val="21"/>
          <w:szCs w:val="21"/>
          <w:highlight w:val="none"/>
          <w:u w:val="single"/>
          <w:lang w:eastAsia="zh-CN"/>
        </w:rPr>
        <w:t>浙江台州高速公路集团股份有限公司</w:t>
      </w:r>
    </w:p>
    <w:p w14:paraId="22AE99B0">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0DDB4FF">
      <w:pPr>
        <w:adjustRightInd w:val="0"/>
        <w:snapToGrid w:val="0"/>
        <w:spacing w:line="36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eastAsia="zh-CN"/>
        </w:rPr>
        <w:t>天和大厦钢结构除锈工程</w:t>
      </w:r>
      <w:r>
        <w:rPr>
          <w:rFonts w:hint="eastAsia" w:ascii="宋体" w:hAnsi="宋体" w:eastAsia="宋体" w:cs="宋体"/>
          <w:color w:val="auto"/>
          <w:sz w:val="21"/>
          <w:szCs w:val="21"/>
          <w:highlight w:val="none"/>
        </w:rPr>
        <w:t>（工程全称）签订工程质量保修书。</w:t>
      </w:r>
    </w:p>
    <w:p w14:paraId="6C713B3B">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一、工程质量保修范围和内容</w:t>
      </w:r>
    </w:p>
    <w:p w14:paraId="46DEBAE1">
      <w:pPr>
        <w:adjustRightInd w:val="0"/>
        <w:snapToGrid w:val="0"/>
        <w:spacing w:line="36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348994F4">
      <w:pPr>
        <w:adjustRightInd w:val="0"/>
        <w:snapToGrid w:val="0"/>
        <w:spacing w:line="36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Cs/>
          <w:color w:val="auto"/>
          <w:sz w:val="21"/>
          <w:szCs w:val="21"/>
          <w:highlight w:val="none"/>
          <w:u w:val="single"/>
        </w:rPr>
        <w:t>本合同范围内的所有工程</w:t>
      </w:r>
      <w:r>
        <w:rPr>
          <w:rFonts w:hint="eastAsia" w:ascii="宋体" w:hAnsi="宋体" w:eastAsia="宋体" w:cs="宋体"/>
          <w:color w:val="auto"/>
          <w:sz w:val="21"/>
          <w:szCs w:val="21"/>
          <w:highlight w:val="none"/>
        </w:rPr>
        <w:t>。</w:t>
      </w:r>
    </w:p>
    <w:p w14:paraId="0976CFBE">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二、质量保修期</w:t>
      </w:r>
    </w:p>
    <w:p w14:paraId="6E52D58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1DDA7A0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554E00F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2．屋面防水工程、有防水要求的卫生间、房间和外墙面的防渗为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Cs/>
          <w:color w:val="auto"/>
          <w:sz w:val="21"/>
          <w:szCs w:val="21"/>
          <w:highlight w:val="none"/>
          <w:u w:val="single"/>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13A3B0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D90FF7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DB6DF7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3557E8C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年；</w:t>
      </w:r>
    </w:p>
    <w:p w14:paraId="7648B22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2年     </w:t>
      </w:r>
      <w:r>
        <w:rPr>
          <w:rFonts w:hint="eastAsia" w:ascii="宋体" w:hAnsi="宋体" w:eastAsia="宋体" w:cs="宋体"/>
          <w:color w:val="auto"/>
          <w:sz w:val="21"/>
          <w:szCs w:val="21"/>
          <w:highlight w:val="none"/>
        </w:rPr>
        <w:t>。</w:t>
      </w:r>
    </w:p>
    <w:p w14:paraId="7EF0DDD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7F3E12FC">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三、缺陷责任期</w:t>
      </w:r>
    </w:p>
    <w:p w14:paraId="34AF05D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24</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40D6675B">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四、质量保修责任</w:t>
      </w:r>
    </w:p>
    <w:p w14:paraId="5F8B3B7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2B035ED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1736235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933FDD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51D5D0A6">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五、保修费用</w:t>
      </w:r>
    </w:p>
    <w:p w14:paraId="4650654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4F6BB947">
      <w:pPr>
        <w:adjustRightInd w:val="0"/>
        <w:snapToGrid w:val="0"/>
        <w:spacing w:line="360" w:lineRule="exact"/>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六、双方约定的其他工程质量保修事项：双方约定的其他工程质量保修事项：</w:t>
      </w:r>
      <w:r>
        <w:rPr>
          <w:rFonts w:hint="eastAsia" w:ascii="宋体" w:hAnsi="宋体" w:eastAsia="宋体" w:cs="宋体"/>
          <w:color w:val="auto"/>
          <w:sz w:val="21"/>
          <w:szCs w:val="21"/>
          <w:highlight w:val="none"/>
          <w:u w:val="single"/>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r>
        <w:rPr>
          <w:rFonts w:hint="eastAsia" w:ascii="宋体" w:hAnsi="宋体" w:eastAsia="宋体" w:cs="宋体"/>
          <w:color w:val="auto"/>
          <w:sz w:val="21"/>
          <w:szCs w:val="21"/>
          <w:highlight w:val="none"/>
        </w:rPr>
        <w:t>。</w:t>
      </w:r>
    </w:p>
    <w:p w14:paraId="1A33321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2F73A63A">
      <w:pPr>
        <w:spacing w:line="360" w:lineRule="auto"/>
        <w:ind w:firstLine="420" w:firstLineChars="200"/>
        <w:rPr>
          <w:rFonts w:hint="eastAsia" w:ascii="宋体" w:hAnsi="宋体" w:eastAsia="宋体" w:cs="宋体"/>
          <w:color w:val="auto"/>
          <w:sz w:val="21"/>
          <w:szCs w:val="21"/>
          <w:highlight w:val="none"/>
        </w:rPr>
      </w:pPr>
    </w:p>
    <w:p w14:paraId="43461870">
      <w:pPr>
        <w:pStyle w:val="42"/>
        <w:rPr>
          <w:rFonts w:hint="eastAsia" w:ascii="宋体" w:hAnsi="宋体" w:eastAsia="宋体" w:cs="宋体"/>
          <w:color w:val="auto"/>
          <w:sz w:val="21"/>
          <w:szCs w:val="21"/>
          <w:highlight w:val="none"/>
        </w:rPr>
      </w:pPr>
    </w:p>
    <w:p w14:paraId="37E0A010">
      <w:pPr>
        <w:rPr>
          <w:rFonts w:hint="eastAsia"/>
          <w:color w:val="auto"/>
        </w:rPr>
      </w:pPr>
    </w:p>
    <w:p w14:paraId="27EFFBB6">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承包人（公章）：</w:t>
      </w:r>
      <w:r>
        <w:rPr>
          <w:rFonts w:hint="eastAsia" w:ascii="宋体" w:hAnsi="宋体" w:eastAsia="宋体" w:cs="宋体"/>
          <w:color w:val="auto"/>
          <w:sz w:val="21"/>
          <w:szCs w:val="21"/>
          <w:highlight w:val="none"/>
          <w:u w:val="single"/>
        </w:rPr>
        <w:t xml:space="preserve">                     </w:t>
      </w:r>
    </w:p>
    <w:p w14:paraId="230DFDFB">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1A834CA8">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法定代表人（签章）：</w:t>
      </w:r>
      <w:r>
        <w:rPr>
          <w:rFonts w:hint="eastAsia" w:ascii="宋体" w:hAnsi="宋体" w:eastAsia="宋体" w:cs="宋体"/>
          <w:color w:val="auto"/>
          <w:sz w:val="21"/>
          <w:szCs w:val="21"/>
          <w:highlight w:val="none"/>
          <w:u w:val="single"/>
        </w:rPr>
        <w:t xml:space="preserve">           </w:t>
      </w:r>
    </w:p>
    <w:p w14:paraId="2A6D7D9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p>
    <w:p w14:paraId="2E91E21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5FD9D2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5F12D3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2146C3A1">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14:paraId="63B91B07">
      <w:pPr>
        <w:autoSpaceDE w:val="0"/>
        <w:autoSpaceDN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451EF377">
      <w:pPr>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 xml:space="preserve"> </w:t>
      </w:r>
    </w:p>
    <w:p w14:paraId="77C1ACD1">
      <w:pPr>
        <w:spacing w:line="360" w:lineRule="exact"/>
        <w:ind w:firstLine="420" w:firstLineChars="200"/>
        <w:rPr>
          <w:rFonts w:hint="eastAsia" w:ascii="宋体" w:hAnsi="宋体" w:eastAsia="宋体" w:cs="宋体"/>
          <w:color w:val="auto"/>
          <w:sz w:val="21"/>
          <w:szCs w:val="21"/>
          <w:highlight w:val="none"/>
          <w:u w:val="single"/>
        </w:rPr>
      </w:pPr>
    </w:p>
    <w:bookmarkEnd w:id="146"/>
    <w:p w14:paraId="7EAD66CA">
      <w:pPr>
        <w:pStyle w:val="68"/>
        <w:ind w:firstLine="560"/>
        <w:jc w:val="center"/>
        <w:rPr>
          <w:rFonts w:hint="eastAsia" w:ascii="宋体" w:hAnsi="宋体" w:eastAsia="宋体"/>
          <w:color w:val="auto"/>
          <w:sz w:val="21"/>
          <w:szCs w:val="21"/>
          <w:highlight w:val="none"/>
        </w:rPr>
      </w:pPr>
      <w:bookmarkStart w:id="668" w:name="_Toc283976552"/>
      <w:bookmarkStart w:id="669" w:name="_Toc394573948"/>
      <w:bookmarkStart w:id="670" w:name="_Toc283886261"/>
      <w:bookmarkStart w:id="671" w:name="_Toc282596316"/>
      <w:r>
        <w:rPr>
          <w:rFonts w:hint="eastAsia" w:ascii="宋体" w:hAnsi="宋体" w:eastAsia="宋体"/>
          <w:color w:val="auto"/>
          <w:sz w:val="21"/>
          <w:szCs w:val="21"/>
          <w:highlight w:val="none"/>
        </w:rPr>
        <w:br w:type="page"/>
      </w:r>
      <w:bookmarkStart w:id="672" w:name="_Toc24267"/>
    </w:p>
    <w:p w14:paraId="6BC2508E">
      <w:pPr>
        <w:pStyle w:val="68"/>
        <w:ind w:firstLine="560"/>
        <w:jc w:val="center"/>
        <w:rPr>
          <w:rFonts w:hint="eastAsia" w:ascii="宋体" w:hAnsi="宋体" w:eastAsia="宋体"/>
          <w:b/>
          <w:bCs/>
          <w:color w:val="auto"/>
          <w:sz w:val="21"/>
          <w:szCs w:val="21"/>
          <w:highlight w:val="none"/>
        </w:rPr>
      </w:pPr>
      <w:r>
        <w:rPr>
          <w:rFonts w:hint="eastAsia" w:ascii="宋体" w:hAnsi="宋体" w:eastAsia="宋体"/>
          <w:b/>
          <w:bCs/>
          <w:color w:val="auto"/>
          <w:sz w:val="32"/>
          <w:szCs w:val="32"/>
          <w:highlight w:val="none"/>
        </w:rPr>
        <w:t>第四部分  工程建设项目廉政责任书</w:t>
      </w:r>
      <w:bookmarkEnd w:id="668"/>
      <w:bookmarkEnd w:id="669"/>
      <w:bookmarkEnd w:id="670"/>
      <w:bookmarkEnd w:id="671"/>
      <w:bookmarkEnd w:id="672"/>
    </w:p>
    <w:p w14:paraId="65F8676B">
      <w:pPr>
        <w:autoSpaceDE w:val="0"/>
        <w:autoSpaceDN w:val="0"/>
        <w:spacing w:line="360" w:lineRule="exact"/>
        <w:ind w:firstLine="482"/>
        <w:rPr>
          <w:rFonts w:hint="eastAsia" w:ascii="宋体" w:hAnsi="宋体" w:eastAsia="宋体" w:cs="宋体"/>
          <w:color w:val="auto"/>
          <w:sz w:val="21"/>
          <w:szCs w:val="21"/>
          <w:highlight w:val="none"/>
        </w:rPr>
      </w:pPr>
    </w:p>
    <w:p w14:paraId="36C0167A">
      <w:pPr>
        <w:autoSpaceDE w:val="0"/>
        <w:autoSpaceDN w:val="0"/>
        <w:adjustRightInd w:val="0"/>
        <w:snapToGrid w:val="0"/>
        <w:spacing w:line="360" w:lineRule="exact"/>
        <w:ind w:firstLine="482"/>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工程项目名称：</w:t>
      </w:r>
      <w:r>
        <w:rPr>
          <w:rFonts w:hint="eastAsia" w:ascii="宋体" w:hAnsi="宋体" w:eastAsia="宋体" w:cs="宋体"/>
          <w:color w:val="auto"/>
          <w:sz w:val="21"/>
          <w:szCs w:val="21"/>
          <w:highlight w:val="none"/>
          <w:u w:val="single"/>
          <w:lang w:eastAsia="zh-CN"/>
        </w:rPr>
        <w:t>天和大厦钢结构除锈工程</w:t>
      </w:r>
    </w:p>
    <w:p w14:paraId="036DC20F">
      <w:pPr>
        <w:autoSpaceDE w:val="0"/>
        <w:autoSpaceDN w:val="0"/>
        <w:adjustRightInd w:val="0"/>
        <w:snapToGrid w:val="0"/>
        <w:spacing w:line="360" w:lineRule="exact"/>
        <w:ind w:firstLine="482"/>
        <w:rPr>
          <w:rFonts w:hint="default" w:ascii="宋体" w:hAnsi="宋体" w:eastAsia="宋体" w:cs="宋体"/>
          <w:bCs/>
          <w:color w:val="auto"/>
          <w:sz w:val="21"/>
          <w:szCs w:val="21"/>
          <w:highlight w:val="none"/>
          <w:u w:val="single"/>
          <w:lang w:val="en-US" w:eastAsia="zh-CN"/>
        </w:rPr>
      </w:pPr>
      <w:r>
        <w:rPr>
          <w:rFonts w:hint="eastAsia" w:ascii="宋体" w:hAnsi="宋体" w:eastAsia="宋体" w:cs="宋体"/>
          <w:color w:val="auto"/>
          <w:sz w:val="21"/>
          <w:szCs w:val="21"/>
          <w:highlight w:val="none"/>
        </w:rPr>
        <w:t>工程项目地址：</w:t>
      </w:r>
      <w:r>
        <w:rPr>
          <w:rFonts w:hint="eastAsia" w:ascii="宋体" w:hAnsi="宋体" w:eastAsia="宋体" w:cs="宋体"/>
          <w:color w:val="auto"/>
          <w:sz w:val="21"/>
          <w:szCs w:val="21"/>
          <w:highlight w:val="none"/>
          <w:u w:val="single"/>
          <w:lang w:val="en-US" w:eastAsia="zh-CN"/>
        </w:rPr>
        <w:t xml:space="preserve">天和路95号 </w:t>
      </w:r>
    </w:p>
    <w:p w14:paraId="43A0F1C3">
      <w:pPr>
        <w:autoSpaceDE w:val="0"/>
        <w:autoSpaceDN w:val="0"/>
        <w:adjustRightInd w:val="0"/>
        <w:snapToGrid w:val="0"/>
        <w:spacing w:line="36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建设单位（甲方）：</w:t>
      </w:r>
      <w:r>
        <w:rPr>
          <w:rFonts w:hint="eastAsia" w:ascii="宋体" w:hAnsi="宋体" w:eastAsia="宋体" w:cs="宋体"/>
          <w:color w:val="auto"/>
          <w:sz w:val="21"/>
          <w:szCs w:val="21"/>
          <w:highlight w:val="none"/>
          <w:u w:val="single"/>
          <w:lang w:eastAsia="zh-CN"/>
        </w:rPr>
        <w:t>浙江台州高速公路集团股份有限公司</w:t>
      </w:r>
    </w:p>
    <w:p w14:paraId="16B08EFA">
      <w:pPr>
        <w:autoSpaceDE w:val="0"/>
        <w:autoSpaceDN w:val="0"/>
        <w:adjustRightInd w:val="0"/>
        <w:snapToGrid w:val="0"/>
        <w:spacing w:line="360" w:lineRule="exact"/>
        <w:ind w:firstLine="48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施工单位（乙方）：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 xml:space="preserve">     </w:t>
      </w:r>
    </w:p>
    <w:p w14:paraId="2BF22582">
      <w:pPr>
        <w:autoSpaceDE w:val="0"/>
        <w:autoSpaceDN w:val="0"/>
        <w:adjustRightInd w:val="0"/>
        <w:snapToGrid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2FC85A93">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第一条 甲乙双方的责任</w:t>
      </w:r>
    </w:p>
    <w:p w14:paraId="31F24AB6">
      <w:pPr>
        <w:pStyle w:val="18"/>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（一）应严格遵守国家关于市场准入、项目招标投标、工程建设、施工安装和市场活动等有关法律、法规，相关政策，以及廉政建设的各项规定。</w:t>
      </w:r>
    </w:p>
    <w:p w14:paraId="546970F1">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（二）严格执行建设工程项目承发包合同文件，自觉按合同办事。</w:t>
      </w:r>
    </w:p>
    <w:p w14:paraId="2EEF592D">
      <w:pPr>
        <w:pStyle w:val="18"/>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（三）业务活动必须坚持公开、公平、公正、诚信、透明的原则（除法律法规另有规定者外），不得为获取不正当的利益，损害国家、集体和对方利益，不得违反工程建设管理、施工安装的规章制度。</w:t>
      </w:r>
    </w:p>
    <w:p w14:paraId="741E6EF7">
      <w:pPr>
        <w:pStyle w:val="18"/>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（四）发现对方在业务活动中有违规、违纪、违法行为的，应及时提醒对方，情节严重的，应向其上级主管部门或纪检监察、司法等有关机关举报。</w:t>
      </w:r>
    </w:p>
    <w:p w14:paraId="209C2CFF">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第二条 甲方的责任</w:t>
      </w:r>
    </w:p>
    <w:p w14:paraId="7AFC9E82">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甲方的领导和从事该建设工程项目的工作人员，在工程建设的事前、事中、事后应遵守以下规定：</w:t>
      </w:r>
    </w:p>
    <w:p w14:paraId="35481CA0">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（一）不准向乙方和相关单位索要或接受回扣、礼金、有价证券、贵重物品和好处费、感谢费等。</w:t>
      </w:r>
    </w:p>
    <w:p w14:paraId="08A42C81">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（二）不准在乙方和相关单位报销任何应由甲方或个人支付的费用。</w:t>
      </w:r>
    </w:p>
    <w:p w14:paraId="35BA4BCE">
      <w:pPr>
        <w:pStyle w:val="18"/>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（三）不准要求、暗示和接受乙方和相关单位为个人装修住房、婚丧嫁娶、配偶子女的工作安排以及出国（境）、旅游等提供方便。</w:t>
      </w:r>
    </w:p>
    <w:p w14:paraId="6BF1B7C9">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（四）不准参加有可能影响公正执行公务的乙方和相关单位的宴请和健身、娱乐等活动。</w:t>
      </w:r>
    </w:p>
    <w:p w14:paraId="205B64BF">
      <w:pPr>
        <w:pStyle w:val="18"/>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1A474A62">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第三条 乙方的责任</w:t>
      </w:r>
    </w:p>
    <w:p w14:paraId="49B6215C">
      <w:pPr>
        <w:pStyle w:val="18"/>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应与甲方保持正常的业务交往，按照有关法律法规和程序开展业务工作，严格执行工程建设的有关方针、政策，尤其是有关建筑施工安装的强制性标准和规范，并遵守以下规定：</w:t>
      </w:r>
    </w:p>
    <w:p w14:paraId="2978FE65">
      <w:pPr>
        <w:pStyle w:val="18"/>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（一）不准以任何理由向甲方、相关单位及其工作人员索要、接受或赠送礼金、有价证券、贵重物品和回扣、好处费、感谢费等。</w:t>
      </w:r>
    </w:p>
    <w:p w14:paraId="6125C82B">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（二）不准以任何理由为甲方和相关单位报销应由对方或个人支付的费用。</w:t>
      </w:r>
    </w:p>
    <w:p w14:paraId="56497363">
      <w:pPr>
        <w:pStyle w:val="18"/>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（三）不准接受或暗示为甲方、相关单位或个人装修住房、婚丧嫁娶、配偶子女的工作安排以及出国（境）、旅游等提供方便。</w:t>
      </w:r>
    </w:p>
    <w:p w14:paraId="4AEA2975">
      <w:pPr>
        <w:pStyle w:val="18"/>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（四）不准以任何理由为甲方、相关单位或个人组织有可能影响公正执行公务的宴请、健身、娱乐等活动。</w:t>
      </w:r>
    </w:p>
    <w:p w14:paraId="75C70D0A">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第四条 违约责任</w:t>
      </w:r>
    </w:p>
    <w:p w14:paraId="45688728">
      <w:pPr>
        <w:pStyle w:val="18"/>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300682D0">
      <w:pPr>
        <w:pStyle w:val="18"/>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67639C45">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第五条 本责任书作为工程施工合同的附件，与工程施工合同具有同等法律效力。经双方签署后立即生效。</w:t>
      </w:r>
    </w:p>
    <w:p w14:paraId="7AC4608B">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第六条 本责任书的有效期为双方签署之日起至该工程项目竣工验收合格时止。</w:t>
      </w:r>
    </w:p>
    <w:p w14:paraId="2E01DB8D">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第七条 本责任书份数同合同份数。</w:t>
      </w:r>
    </w:p>
    <w:p w14:paraId="7D53B3C1">
      <w:pPr>
        <w:autoSpaceDE w:val="0"/>
        <w:autoSpaceDN w:val="0"/>
        <w:spacing w:line="360" w:lineRule="exact"/>
        <w:ind w:firstLine="482"/>
        <w:rPr>
          <w:rFonts w:hint="eastAsia" w:ascii="宋体" w:hAnsi="宋体" w:eastAsia="宋体" w:cs="宋体"/>
          <w:color w:val="auto"/>
          <w:sz w:val="21"/>
          <w:szCs w:val="21"/>
          <w:highlight w:val="none"/>
        </w:rPr>
      </w:pPr>
    </w:p>
    <w:p w14:paraId="13F0CE72">
      <w:pPr>
        <w:autoSpaceDE w:val="0"/>
        <w:autoSpaceDN w:val="0"/>
        <w:spacing w:line="360" w:lineRule="exact"/>
        <w:ind w:firstLine="482"/>
        <w:rPr>
          <w:rFonts w:hint="eastAsia" w:ascii="宋体" w:hAnsi="宋体" w:eastAsia="宋体" w:cs="宋体"/>
          <w:color w:val="auto"/>
          <w:sz w:val="21"/>
          <w:szCs w:val="21"/>
          <w:highlight w:val="none"/>
        </w:rPr>
      </w:pPr>
    </w:p>
    <w:p w14:paraId="3AF67FF4">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甲方单位：（盖章）　　　　　　　　                　　乙方单位：（盖章）</w:t>
      </w:r>
    </w:p>
    <w:p w14:paraId="471774E1">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557147E3">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4F9A1296">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65D9039F">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　　　　　　　　　　　　　               　　年　月　日</w:t>
      </w:r>
    </w:p>
    <w:p w14:paraId="569A97B8">
      <w:pPr>
        <w:autoSpaceDE w:val="0"/>
        <w:autoSpaceDN w:val="0"/>
        <w:spacing w:line="360" w:lineRule="exact"/>
        <w:ind w:firstLine="482"/>
        <w:jc w:val="right"/>
        <w:rPr>
          <w:rFonts w:hint="eastAsia" w:ascii="宋体" w:hAnsi="宋体" w:eastAsia="宋体" w:cs="宋体"/>
          <w:color w:val="auto"/>
          <w:sz w:val="21"/>
          <w:szCs w:val="21"/>
          <w:highlight w:val="none"/>
        </w:rPr>
      </w:pPr>
    </w:p>
    <w:p w14:paraId="7FFC3E8C">
      <w:pPr>
        <w:pStyle w:val="5"/>
        <w:spacing w:line="400" w:lineRule="exact"/>
        <w:ind w:left="0"/>
        <w:rPr>
          <w:rFonts w:hint="eastAsia" w:ascii="宋体" w:eastAsia="宋体" w:cs="宋体"/>
          <w:b w:val="0"/>
          <w:color w:val="auto"/>
          <w:highlight w:val="none"/>
        </w:rPr>
      </w:pPr>
      <w:r>
        <w:rPr>
          <w:rFonts w:hint="eastAsia" w:ascii="宋体" w:eastAsia="宋体" w:cs="宋体"/>
          <w:color w:val="auto"/>
          <w:highlight w:val="none"/>
        </w:rPr>
        <w:br w:type="page"/>
      </w:r>
      <w:bookmarkStart w:id="673" w:name="_Toc152045782"/>
      <w:bookmarkStart w:id="674" w:name="_Toc152042571"/>
      <w:bookmarkStart w:id="675" w:name="_Toc27229"/>
      <w:bookmarkStart w:id="676" w:name="_Toc144974851"/>
      <w:r>
        <w:rPr>
          <w:rFonts w:hint="eastAsia" w:ascii="宋体" w:eastAsia="宋体" w:cs="宋体"/>
          <w:b/>
          <w:bCs/>
          <w:color w:val="auto"/>
          <w:highlight w:val="none"/>
        </w:rPr>
        <w:t>第三章  图  纸</w:t>
      </w:r>
      <w:bookmarkEnd w:id="673"/>
      <w:bookmarkEnd w:id="674"/>
      <w:bookmarkEnd w:id="675"/>
      <w:bookmarkEnd w:id="676"/>
    </w:p>
    <w:p w14:paraId="416CFC40">
      <w:pPr>
        <w:spacing w:line="44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详见电子版施工图</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如有</w:t>
      </w:r>
      <w:r>
        <w:rPr>
          <w:rFonts w:hint="eastAsia" w:ascii="宋体" w:hAnsi="宋体" w:eastAsia="宋体" w:cs="宋体"/>
          <w:color w:val="auto"/>
          <w:sz w:val="28"/>
          <w:szCs w:val="28"/>
          <w:highlight w:val="none"/>
          <w:lang w:eastAsia="zh-CN"/>
        </w:rPr>
        <w:t>）</w:t>
      </w:r>
    </w:p>
    <w:p w14:paraId="24639A20">
      <w:pPr>
        <w:jc w:val="center"/>
        <w:rPr>
          <w:rFonts w:hint="eastAsia" w:ascii="宋体" w:hAnsi="宋体" w:eastAsia="宋体" w:cs="宋体"/>
          <w:color w:val="auto"/>
          <w:highlight w:val="none"/>
        </w:rPr>
      </w:pPr>
    </w:p>
    <w:p w14:paraId="73919920">
      <w:pPr>
        <w:pStyle w:val="5"/>
        <w:spacing w:line="400" w:lineRule="exact"/>
        <w:rPr>
          <w:rFonts w:hint="eastAsia" w:ascii="宋体" w:eastAsia="宋体" w:cs="宋体"/>
          <w:color w:val="auto"/>
          <w:highlight w:val="none"/>
        </w:rPr>
      </w:pPr>
      <w:r>
        <w:rPr>
          <w:rFonts w:hint="eastAsia" w:ascii="宋体" w:eastAsia="宋体" w:cs="宋体"/>
          <w:color w:val="auto"/>
          <w:highlight w:val="none"/>
        </w:rPr>
        <w:br w:type="page"/>
      </w:r>
      <w:bookmarkStart w:id="677" w:name="_Toc7904"/>
      <w:bookmarkStart w:id="678" w:name="_Toc152045785"/>
      <w:bookmarkStart w:id="679" w:name="_Toc144974854"/>
      <w:bookmarkStart w:id="680" w:name="_Toc152042574"/>
      <w:r>
        <w:rPr>
          <w:rFonts w:hint="eastAsia" w:ascii="宋体" w:eastAsia="宋体" w:cs="宋体"/>
          <w:b/>
          <w:bCs/>
          <w:color w:val="auto"/>
          <w:highlight w:val="none"/>
        </w:rPr>
        <w:t>第四章  技术标准和要求</w:t>
      </w:r>
      <w:bookmarkEnd w:id="677"/>
      <w:bookmarkEnd w:id="678"/>
      <w:bookmarkEnd w:id="679"/>
      <w:bookmarkEnd w:id="680"/>
    </w:p>
    <w:p w14:paraId="1D59C458">
      <w:pPr>
        <w:pStyle w:val="68"/>
        <w:adjustRightInd w:val="0"/>
        <w:snapToGrid w:val="0"/>
        <w:spacing w:before="0" w:line="360" w:lineRule="exact"/>
        <w:jc w:val="center"/>
        <w:rPr>
          <w:rFonts w:hint="eastAsia" w:ascii="宋体" w:hAnsi="宋体" w:eastAsia="宋体"/>
          <w:color w:val="auto"/>
          <w:sz w:val="21"/>
          <w:szCs w:val="21"/>
          <w:highlight w:val="none"/>
        </w:rPr>
      </w:pPr>
      <w:bookmarkStart w:id="681" w:name="_Toc288556313"/>
      <w:bookmarkStart w:id="682" w:name="_Toc394573957"/>
      <w:bookmarkStart w:id="683" w:name="_Toc372899887"/>
      <w:bookmarkStart w:id="684" w:name="_Toc22813"/>
      <w:bookmarkStart w:id="685" w:name="_Toc283976561"/>
      <w:bookmarkStart w:id="686" w:name="_Toc283886271"/>
      <w:bookmarkStart w:id="687" w:name="_Toc282596326"/>
      <w:r>
        <w:rPr>
          <w:rFonts w:hint="eastAsia" w:ascii="宋体" w:hAnsi="宋体" w:eastAsia="宋体"/>
          <w:color w:val="auto"/>
          <w:sz w:val="21"/>
          <w:szCs w:val="21"/>
          <w:highlight w:val="none"/>
        </w:rPr>
        <w:t>1. 工程概况</w:t>
      </w:r>
      <w:bookmarkEnd w:id="681"/>
      <w:bookmarkEnd w:id="682"/>
      <w:bookmarkEnd w:id="683"/>
      <w:bookmarkEnd w:id="684"/>
    </w:p>
    <w:p w14:paraId="1FB1BE0F">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1.1招标工程：</w:t>
      </w:r>
      <w:r>
        <w:rPr>
          <w:rFonts w:hint="eastAsia" w:ascii="宋体" w:hAnsi="宋体" w:eastAsia="宋体"/>
          <w:color w:val="auto"/>
          <w:sz w:val="21"/>
          <w:szCs w:val="21"/>
          <w:highlight w:val="none"/>
          <w:lang w:eastAsia="zh-CN"/>
        </w:rPr>
        <w:t>天和大厦钢结构除锈工程</w:t>
      </w:r>
      <w:r>
        <w:rPr>
          <w:rFonts w:hint="eastAsia" w:ascii="宋体" w:hAnsi="宋体" w:eastAsia="宋体"/>
          <w:color w:val="auto"/>
          <w:sz w:val="21"/>
          <w:szCs w:val="21"/>
          <w:highlight w:val="none"/>
        </w:rPr>
        <w:t xml:space="preserve"> </w:t>
      </w:r>
    </w:p>
    <w:p w14:paraId="4E381058">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1.2建设规模：详见</w:t>
      </w:r>
      <w:r>
        <w:rPr>
          <w:rFonts w:hint="eastAsia" w:ascii="宋体" w:hAnsi="宋体" w:eastAsia="宋体"/>
          <w:color w:val="auto"/>
          <w:sz w:val="21"/>
          <w:szCs w:val="21"/>
          <w:highlight w:val="none"/>
          <w:lang w:val="en-US" w:eastAsia="zh-CN"/>
        </w:rPr>
        <w:t>施工图</w:t>
      </w:r>
      <w:r>
        <w:rPr>
          <w:rFonts w:hint="eastAsia" w:ascii="宋体" w:hAnsi="宋体" w:eastAsia="宋体"/>
          <w:color w:val="auto"/>
          <w:sz w:val="21"/>
          <w:szCs w:val="21"/>
          <w:highlight w:val="none"/>
        </w:rPr>
        <w:t>。</w:t>
      </w:r>
    </w:p>
    <w:p w14:paraId="14F45C8E">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1.3</w:t>
      </w:r>
      <w:r>
        <w:rPr>
          <w:rFonts w:hint="eastAsia" w:ascii="宋体" w:hAnsi="宋体" w:eastAsia="宋体"/>
          <w:color w:val="auto"/>
          <w:sz w:val="21"/>
          <w:szCs w:val="21"/>
          <w:highlight w:val="none"/>
          <w:lang w:eastAsia="zh-CN"/>
        </w:rPr>
        <w:t>项目预算</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项目预算</w:t>
      </w:r>
      <w:r>
        <w:rPr>
          <w:rFonts w:hint="eastAsia" w:ascii="宋体" w:hAnsi="宋体" w:eastAsia="宋体"/>
          <w:color w:val="auto"/>
          <w:sz w:val="21"/>
          <w:szCs w:val="21"/>
          <w:highlight w:val="none"/>
        </w:rPr>
        <w:t xml:space="preserve">电子数据详见附件（仅供投标人参考）               </w:t>
      </w:r>
    </w:p>
    <w:p w14:paraId="1D3C3ED7">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1.4建设地点：台州市椒江区天和路95号                     </w:t>
      </w:r>
    </w:p>
    <w:p w14:paraId="571D6E21">
      <w:pPr>
        <w:pStyle w:val="68"/>
        <w:adjustRightInd w:val="0"/>
        <w:snapToGrid w:val="0"/>
        <w:spacing w:before="0" w:line="360" w:lineRule="exact"/>
        <w:jc w:val="center"/>
        <w:rPr>
          <w:rFonts w:hint="eastAsia" w:ascii="宋体" w:hAnsi="宋体" w:eastAsia="宋体"/>
          <w:color w:val="auto"/>
          <w:sz w:val="21"/>
          <w:szCs w:val="21"/>
          <w:highlight w:val="none"/>
        </w:rPr>
      </w:pPr>
      <w:bookmarkStart w:id="688" w:name="_Toc19140"/>
      <w:bookmarkStart w:id="689" w:name="_Toc372899888"/>
      <w:bookmarkStart w:id="690" w:name="_Toc394573958"/>
      <w:bookmarkStart w:id="691" w:name="_Toc288556314"/>
      <w:r>
        <w:rPr>
          <w:rFonts w:hint="eastAsia" w:ascii="宋体" w:hAnsi="宋体" w:eastAsia="宋体"/>
          <w:color w:val="auto"/>
          <w:sz w:val="21"/>
          <w:szCs w:val="21"/>
          <w:highlight w:val="none"/>
        </w:rPr>
        <w:t>2. 技术规范及标准</w:t>
      </w:r>
      <w:bookmarkEnd w:id="685"/>
      <w:bookmarkEnd w:id="686"/>
      <w:bookmarkEnd w:id="687"/>
      <w:bookmarkEnd w:id="688"/>
      <w:bookmarkEnd w:id="689"/>
      <w:bookmarkEnd w:id="690"/>
      <w:bookmarkEnd w:id="691"/>
    </w:p>
    <w:p w14:paraId="4096695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依据设计施工图纸和技术文件要求，本工程项目的材料、设备、施工必须达到以下现行中华人民共和国及省、市、行业的一切有关法规、规范的要求，如下述标准及规范要求有出入则以较严格者为准。</w:t>
      </w:r>
    </w:p>
    <w:p w14:paraId="222C7417">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《工程测量通用规范》GB 55018-2021</w:t>
      </w:r>
    </w:p>
    <w:p w14:paraId="7098F0DD">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《工程勘察通用规范》GB 55017-2021</w:t>
      </w:r>
    </w:p>
    <w:p w14:paraId="116D95C8">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《城镇道路工程施工与质量验收规范》CJJ1-2008</w:t>
      </w:r>
    </w:p>
    <w:p w14:paraId="47706A8C">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《工程结构通用规范》GB 55001-2021</w:t>
      </w:r>
    </w:p>
    <w:p w14:paraId="2FECB76E">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《地基与基础工程施工及验收规范》GB50209-2002</w:t>
      </w:r>
    </w:p>
    <w:p w14:paraId="23F880E9">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《建筑基坑支护技术规范》JGJ120-2012</w:t>
      </w:r>
    </w:p>
    <w:p w14:paraId="3053129B">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《建筑地基处理技术规范》JGJ79-2012、J220-2012</w:t>
      </w:r>
    </w:p>
    <w:p w14:paraId="705A1279">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《混凝土结构通用规范》GB 55008-2021</w:t>
      </w:r>
    </w:p>
    <w:p w14:paraId="44F8BDEE">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《混凝土结构工程施工及验收规范》GB50204-2015</w:t>
      </w:r>
    </w:p>
    <w:p w14:paraId="049FC742">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《砌体结构通用规范》GB55007-2021</w:t>
      </w:r>
    </w:p>
    <w:p w14:paraId="721EE393">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《混凝土外加剂应用技术规范》 GB50119-2013    </w:t>
      </w:r>
    </w:p>
    <w:p w14:paraId="3E4C6881">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《钢结构通用规范》GB 55006-2021</w:t>
      </w:r>
    </w:p>
    <w:p w14:paraId="464888D2">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《冷弯薄壁型钢结构技术规范》GB50018-2016  </w:t>
      </w:r>
    </w:p>
    <w:p w14:paraId="558C39AD">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《门式刚架轻型房屋钢结构技术规程》GB51022-2015  </w:t>
      </w:r>
    </w:p>
    <w:p w14:paraId="55460DED">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《涂装前钢材表面锈蚀等级和除锈等级》GB8923  </w:t>
      </w:r>
    </w:p>
    <w:p w14:paraId="49F9D5A6">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《木结构通用规范》GB55005-2021</w:t>
      </w:r>
    </w:p>
    <w:p w14:paraId="0A891DA6">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《组合结构通用规范》GB55004-2021</w:t>
      </w:r>
    </w:p>
    <w:p w14:paraId="3179C772">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《民用建筑通用规范》GB 55031-2022</w:t>
      </w:r>
    </w:p>
    <w:p w14:paraId="4EEE683E">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《建筑防火通用规范》GB 55037-2022</w:t>
      </w:r>
    </w:p>
    <w:p w14:paraId="5C3B6B4D">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《建筑内部装修设计防火规范》GB50222-2017</w:t>
      </w:r>
    </w:p>
    <w:p w14:paraId="5DFA1093">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《火灾自动报警系统设计规范》GB50116-2013</w:t>
      </w:r>
    </w:p>
    <w:p w14:paraId="4D0C7E4D">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《自动喷水灭火系统施工及验收规范》GB 50261-2017</w:t>
      </w:r>
    </w:p>
    <w:p w14:paraId="427CB3C8">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《消防设施通用规范》GB 55036-2022</w:t>
      </w:r>
    </w:p>
    <w:p w14:paraId="51DF4BFB">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《建筑电气工程施工质量验收规范》GB50303-2015</w:t>
      </w:r>
    </w:p>
    <w:p w14:paraId="01CD684B">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《建筑电气与智能化通用规范》GB 55024-2022</w:t>
      </w:r>
    </w:p>
    <w:p w14:paraId="30401AD4">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《城乡排水工程项目规范》GB 55027-2022</w:t>
      </w:r>
    </w:p>
    <w:p w14:paraId="087CD3CF">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《城市给水工程项目规范》GB 55026-2022</w:t>
      </w:r>
    </w:p>
    <w:p w14:paraId="2124B0B3">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《建筑给水排水与节水通用规范》GB 55020-2021</w:t>
      </w:r>
    </w:p>
    <w:p w14:paraId="412990F8">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《宿舍、旅馆建筑项目规范》GB 55025-2022</w:t>
      </w:r>
    </w:p>
    <w:p w14:paraId="565864F2">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《安全防范工程通用规范》GB 55029-2022</w:t>
      </w:r>
    </w:p>
    <w:p w14:paraId="08888995">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《建筑施工高处作业安全技术规范》JGJ80-2016</w:t>
      </w:r>
    </w:p>
    <w:p w14:paraId="004EC35D">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《建筑机械使用安全技术规范》JGJ33-2012</w:t>
      </w:r>
    </w:p>
    <w:p w14:paraId="0307F213">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《建筑环境通用规范》GB 55016-2021</w:t>
      </w:r>
    </w:p>
    <w:p w14:paraId="53684390">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《建筑节能与可再生能源利用通用规范》GB 55015-2021</w:t>
      </w:r>
    </w:p>
    <w:p w14:paraId="08793DDB">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《施工脚手架通用规范》GB 55023-2022</w:t>
      </w:r>
    </w:p>
    <w:p w14:paraId="0BFDFBA5">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《既有建筑维护与改造通用规范》GB 55022-2021</w:t>
      </w:r>
    </w:p>
    <w:p w14:paraId="25D3BAEC">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《既有建筑鉴定与加固通用规范》GB 55021-2021</w:t>
      </w:r>
    </w:p>
    <w:p w14:paraId="69007FB9">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p>
    <w:p w14:paraId="28648923">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2.2以上技术规范由承包人自备，如有不足之处或未能达到国家最新标准时，承包人应使施工及选用的设备和材料符合最新版本的国家标准、规范。</w:t>
      </w:r>
    </w:p>
    <w:p w14:paraId="653DF24D">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2.3其他相关技术要求详见设计图纸和</w:t>
      </w:r>
      <w:r>
        <w:rPr>
          <w:rFonts w:hint="eastAsia" w:ascii="宋体" w:hAnsi="宋体" w:eastAsia="宋体"/>
          <w:color w:val="auto"/>
          <w:sz w:val="21"/>
          <w:szCs w:val="21"/>
          <w:highlight w:val="none"/>
          <w:lang w:eastAsia="zh-CN"/>
        </w:rPr>
        <w:t>项目预算</w:t>
      </w:r>
      <w:r>
        <w:rPr>
          <w:rFonts w:hint="eastAsia" w:ascii="宋体" w:hAnsi="宋体" w:eastAsia="宋体"/>
          <w:color w:val="auto"/>
          <w:sz w:val="21"/>
          <w:szCs w:val="21"/>
          <w:highlight w:val="none"/>
        </w:rPr>
        <w:t>中的清单要求。</w:t>
      </w:r>
    </w:p>
    <w:p w14:paraId="41AEB1D4">
      <w:pPr>
        <w:pStyle w:val="68"/>
        <w:adjustRightInd w:val="0"/>
        <w:snapToGrid w:val="0"/>
        <w:spacing w:before="0" w:line="360" w:lineRule="exact"/>
        <w:jc w:val="center"/>
        <w:rPr>
          <w:rFonts w:hint="eastAsia" w:ascii="宋体" w:hAnsi="宋体" w:eastAsia="宋体"/>
          <w:color w:val="auto"/>
          <w:sz w:val="21"/>
          <w:szCs w:val="21"/>
          <w:highlight w:val="none"/>
        </w:rPr>
      </w:pPr>
      <w:bookmarkStart w:id="692" w:name="_Toc288556315"/>
      <w:bookmarkStart w:id="693" w:name="_Toc283886272"/>
      <w:bookmarkStart w:id="694" w:name="_Toc229990372"/>
      <w:bookmarkStart w:id="695" w:name="_Toc282596327"/>
      <w:bookmarkStart w:id="696" w:name="_Toc394573959"/>
      <w:bookmarkStart w:id="697" w:name="_Toc23977"/>
      <w:bookmarkStart w:id="698" w:name="_Toc283976562"/>
      <w:bookmarkStart w:id="699" w:name="_Toc372899889"/>
      <w:r>
        <w:rPr>
          <w:rFonts w:hint="eastAsia" w:ascii="宋体" w:hAnsi="宋体" w:eastAsia="宋体"/>
          <w:color w:val="auto"/>
          <w:sz w:val="21"/>
          <w:szCs w:val="21"/>
          <w:highlight w:val="none"/>
        </w:rPr>
        <w:t>3．材料质量要求</w:t>
      </w:r>
      <w:bookmarkEnd w:id="692"/>
      <w:bookmarkEnd w:id="693"/>
      <w:bookmarkEnd w:id="694"/>
      <w:bookmarkEnd w:id="695"/>
      <w:bookmarkEnd w:id="696"/>
      <w:bookmarkEnd w:id="697"/>
      <w:bookmarkEnd w:id="698"/>
      <w:bookmarkEnd w:id="699"/>
    </w:p>
    <w:p w14:paraId="3C90EBA3">
      <w:pPr>
        <w:pStyle w:val="77"/>
        <w:adjustRightInd w:val="0"/>
        <w:snapToGrid w:val="0"/>
        <w:rPr>
          <w:rFonts w:hint="eastAsia" w:ascii="宋体" w:hAnsi="宋体" w:eastAsia="宋体"/>
          <w:color w:val="auto"/>
          <w:sz w:val="21"/>
          <w:szCs w:val="21"/>
          <w:highlight w:val="none"/>
        </w:rPr>
      </w:pPr>
      <w:bookmarkStart w:id="700" w:name="_Toc66769197"/>
      <w:r>
        <w:rPr>
          <w:rFonts w:hint="eastAsia" w:ascii="宋体" w:hAnsi="宋体" w:eastAsia="宋体"/>
          <w:color w:val="auto"/>
          <w:sz w:val="21"/>
          <w:szCs w:val="21"/>
          <w:highlight w:val="none"/>
        </w:rPr>
        <w:t>3.1 材料选择</w:t>
      </w:r>
      <w:bookmarkEnd w:id="700"/>
    </w:p>
    <w:p w14:paraId="77283A3D">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（1）本章节附件为“主要设备材料备选品牌一览表”， 投标人在投标时必须按表中所列的备选品牌之一进行报价。</w:t>
      </w:r>
    </w:p>
    <w:p w14:paraId="76F66745">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本招标文件涉及的其他主要材料及零星材料，各投标人须根据设计施工图的要求及意图按中高档的用材标准进行选材并报价，所有建筑材料要求采用在行业内有一定知名度的品牌，并符合环保要求，严禁选择不合设计要求的低档材料进行投标报价及组织施工实施。</w:t>
      </w:r>
    </w:p>
    <w:p w14:paraId="2E7E44C5">
      <w:pPr>
        <w:pStyle w:val="77"/>
        <w:adjustRightInd w:val="0"/>
        <w:snapToGrid w:val="0"/>
        <w:rPr>
          <w:rFonts w:hint="eastAsia" w:ascii="宋体" w:hAnsi="宋体" w:eastAsia="宋体"/>
          <w:color w:val="auto"/>
          <w:sz w:val="21"/>
          <w:szCs w:val="21"/>
          <w:highlight w:val="none"/>
        </w:rPr>
      </w:pPr>
      <w:bookmarkStart w:id="701" w:name="_Toc66769198"/>
      <w:r>
        <w:rPr>
          <w:rFonts w:hint="eastAsia" w:ascii="宋体" w:hAnsi="宋体" w:eastAsia="宋体"/>
          <w:color w:val="auto"/>
          <w:sz w:val="21"/>
          <w:szCs w:val="21"/>
          <w:highlight w:val="none"/>
        </w:rPr>
        <w:t>3.2 材料的质量保证</w:t>
      </w:r>
      <w:bookmarkEnd w:id="701"/>
    </w:p>
    <w:p w14:paraId="0848E7E2">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（1）在免费保修期内，承包人对有缺陷的部位必须无偿地给予修理与更换，并承担一切由此引起的对发包人或第三者的直接损失，除非该缺陷是由于人为破坏或合同规定的不可抗因素造成的损坏。</w:t>
      </w:r>
    </w:p>
    <w:p w14:paraId="1A096652">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（2）承包人必须对所承包的工程的质量负全部责任，其责任不因其他材料生产商提供的保证书而减轻或更改。</w:t>
      </w:r>
    </w:p>
    <w:p w14:paraId="22D369C3">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（3）材料检验结果证明其有害物质含量指标超标的产品不得在工程上使用。</w:t>
      </w:r>
    </w:p>
    <w:p w14:paraId="20FE1AF1">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3.3 供应要求</w:t>
      </w:r>
    </w:p>
    <w:p w14:paraId="3DD5498B">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本次招标承包范围内的建筑施工材料均由承包人根据本招标文件、设计图纸和国家有关规定的具体要求进行采购、运输、检验、保管，但发包人保留变更和指定材料的权利；所有建筑材料须有产品合格证和质量保证书，应先送样品，样品经设计方、监理方、发包人确认与招标要求一致后封存，批量供应时应与样品一致，并经相关部门检验合格后方可使用。</w:t>
      </w:r>
    </w:p>
    <w:p w14:paraId="79E28066">
      <w:pPr>
        <w:pStyle w:val="77"/>
        <w:adjustRightInd w:val="0"/>
        <w:snapToGrid w:val="0"/>
        <w:rPr>
          <w:rFonts w:hint="eastAsia" w:ascii="宋体" w:hAnsi="宋体" w:eastAsia="宋体"/>
          <w:color w:val="auto"/>
          <w:sz w:val="21"/>
          <w:szCs w:val="21"/>
          <w:highlight w:val="none"/>
        </w:rPr>
      </w:pPr>
      <w:bookmarkStart w:id="702" w:name="_Toc163749454"/>
      <w:bookmarkStart w:id="703" w:name="_Toc66769200"/>
      <w:bookmarkStart w:id="704" w:name="_Toc61168478"/>
      <w:r>
        <w:rPr>
          <w:rFonts w:hint="eastAsia" w:ascii="宋体" w:hAnsi="宋体" w:eastAsia="宋体"/>
          <w:color w:val="auto"/>
          <w:sz w:val="21"/>
          <w:szCs w:val="21"/>
          <w:highlight w:val="none"/>
        </w:rPr>
        <w:t>（2）由承包人采购的主要建筑材料，当承包人选定的产品质量达不到设计要求和预期质量目标时，发包人保留更换的权利，且中标价不予调整。</w:t>
      </w:r>
      <w:bookmarkEnd w:id="702"/>
      <w:bookmarkEnd w:id="703"/>
      <w:bookmarkEnd w:id="704"/>
    </w:p>
    <w:p w14:paraId="16B3AC27">
      <w:pPr>
        <w:pStyle w:val="68"/>
        <w:adjustRightInd w:val="0"/>
        <w:snapToGrid w:val="0"/>
        <w:spacing w:before="0" w:line="360" w:lineRule="exact"/>
        <w:jc w:val="center"/>
        <w:rPr>
          <w:rFonts w:hint="eastAsia" w:ascii="宋体" w:hAnsi="宋体" w:eastAsia="宋体"/>
          <w:color w:val="auto"/>
          <w:sz w:val="21"/>
          <w:szCs w:val="21"/>
          <w:highlight w:val="none"/>
        </w:rPr>
      </w:pPr>
      <w:bookmarkStart w:id="705" w:name="_Toc229990373"/>
      <w:bookmarkStart w:id="706" w:name="_Toc21154"/>
      <w:bookmarkStart w:id="707" w:name="_Toc394573960"/>
      <w:bookmarkStart w:id="708" w:name="_Toc119983975"/>
      <w:bookmarkStart w:id="709" w:name="_Toc283886273"/>
      <w:bookmarkStart w:id="710" w:name="_Toc288556316"/>
      <w:bookmarkStart w:id="711" w:name="_Toc91422889"/>
      <w:bookmarkStart w:id="712" w:name="_Toc282596328"/>
      <w:bookmarkStart w:id="713" w:name="_Toc283976563"/>
      <w:bookmarkStart w:id="714" w:name="_Toc372899890"/>
      <w:r>
        <w:rPr>
          <w:rFonts w:hint="eastAsia" w:ascii="宋体" w:hAnsi="宋体" w:eastAsia="宋体"/>
          <w:color w:val="auto"/>
          <w:sz w:val="21"/>
          <w:szCs w:val="21"/>
          <w:highlight w:val="none"/>
        </w:rPr>
        <w:t>4．工程管理的要求</w:t>
      </w:r>
      <w:bookmarkEnd w:id="705"/>
      <w:bookmarkEnd w:id="706"/>
      <w:bookmarkEnd w:id="707"/>
      <w:bookmarkEnd w:id="708"/>
      <w:bookmarkEnd w:id="709"/>
      <w:bookmarkEnd w:id="710"/>
      <w:bookmarkEnd w:id="711"/>
      <w:bookmarkEnd w:id="712"/>
      <w:bookmarkEnd w:id="713"/>
      <w:bookmarkEnd w:id="714"/>
    </w:p>
    <w:p w14:paraId="2B7A7DA0">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4.1 本工程发包范围内的工程项目，未经发包人同意一律不得分包。一经发现立即取消承包资格，作违约处理，并承担由此引起的一切经济损失。</w:t>
      </w:r>
    </w:p>
    <w:p w14:paraId="6532B7D3">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4.2 承包人应严格按已确认设计图纸和施工技术方案组织施工，并无条件地接受发包人委托的监理单位对施工质量的监督和管理。</w:t>
      </w:r>
    </w:p>
    <w:p w14:paraId="1FAE0E6B">
      <w:pPr>
        <w:pStyle w:val="68"/>
        <w:tabs>
          <w:tab w:val="left" w:pos="5051"/>
        </w:tabs>
        <w:adjustRightInd w:val="0"/>
        <w:snapToGrid w:val="0"/>
        <w:spacing w:before="0" w:line="360" w:lineRule="exact"/>
        <w:jc w:val="center"/>
        <w:rPr>
          <w:rFonts w:hint="default" w:ascii="宋体" w:hAnsi="宋体" w:eastAsia="宋体"/>
          <w:color w:val="auto"/>
          <w:sz w:val="21"/>
          <w:szCs w:val="21"/>
          <w:highlight w:val="none"/>
          <w:lang w:val="en-US" w:eastAsia="zh-CN"/>
        </w:rPr>
      </w:pPr>
      <w:bookmarkStart w:id="715" w:name="_Toc394573961"/>
      <w:bookmarkStart w:id="716" w:name="_Toc282596329"/>
      <w:bookmarkStart w:id="717" w:name="_Toc283976564"/>
      <w:bookmarkStart w:id="718" w:name="_Toc28315"/>
      <w:bookmarkStart w:id="719" w:name="_Toc372899891"/>
      <w:bookmarkStart w:id="720" w:name="_Toc28823"/>
      <w:bookmarkStart w:id="721" w:name="_Toc283886274"/>
      <w:bookmarkStart w:id="722" w:name="_Toc229990374"/>
      <w:bookmarkStart w:id="723" w:name="_Toc288556317"/>
      <w:r>
        <w:rPr>
          <w:rFonts w:hint="eastAsia" w:ascii="宋体" w:hAnsi="宋体" w:eastAsia="宋体"/>
          <w:color w:val="auto"/>
          <w:sz w:val="21"/>
          <w:szCs w:val="21"/>
          <w:highlight w:val="none"/>
        </w:rPr>
        <w:t>5．其他</w:t>
      </w:r>
      <w:bookmarkEnd w:id="715"/>
      <w:bookmarkEnd w:id="716"/>
      <w:bookmarkEnd w:id="717"/>
      <w:bookmarkEnd w:id="718"/>
      <w:bookmarkEnd w:id="719"/>
      <w:bookmarkEnd w:id="720"/>
      <w:bookmarkEnd w:id="721"/>
      <w:bookmarkEnd w:id="722"/>
      <w:bookmarkEnd w:id="723"/>
      <w:r>
        <w:rPr>
          <w:rFonts w:hint="eastAsia" w:ascii="宋体" w:hAnsi="宋体" w:eastAsia="宋体"/>
          <w:color w:val="auto"/>
          <w:sz w:val="21"/>
          <w:szCs w:val="21"/>
          <w:highlight w:val="none"/>
          <w:lang w:val="en-US" w:eastAsia="zh-CN"/>
        </w:rPr>
        <w:t xml:space="preserve"> /</w:t>
      </w:r>
    </w:p>
    <w:p w14:paraId="5CBCF74E">
      <w:pPr>
        <w:adjustRightInd w:val="0"/>
        <w:snapToGrid w:val="0"/>
        <w:spacing w:line="360" w:lineRule="exact"/>
        <w:ind w:firstLine="420" w:firstLine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0BA6DA3C">
      <w:pPr>
        <w:adjustRightInd w:val="0"/>
        <w:snapToGrid w:val="0"/>
        <w:spacing w:line="360" w:lineRule="exact"/>
        <w:ind w:firstLine="643" w:firstLineChars="20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第五章  评标办法</w:t>
      </w:r>
      <w:bookmarkEnd w:id="125"/>
    </w:p>
    <w:p w14:paraId="6F24E108">
      <w:pPr>
        <w:pStyle w:val="15"/>
        <w:keepNext w:val="0"/>
        <w:keepLines w:val="0"/>
        <w:pageBreakBefore w:val="0"/>
        <w:widowControl w:val="0"/>
        <w:kinsoku/>
        <w:wordWrap/>
        <w:overflowPunct/>
        <w:topLinePunct w:val="0"/>
        <w:autoSpaceDE/>
        <w:autoSpaceDN/>
        <w:bidi w:val="0"/>
        <w:adjustRightInd w:val="0"/>
        <w:snapToGrid w:val="0"/>
        <w:spacing w:line="340" w:lineRule="exact"/>
        <w:ind w:firstLineChars="200"/>
        <w:textAlignment w:val="auto"/>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本工程项目的评标办法采用综合评估法</w:t>
      </w:r>
    </w:p>
    <w:p w14:paraId="07C231DA">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一、资格审查</w:t>
      </w:r>
    </w:p>
    <w:p w14:paraId="7A024748">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评标委员会按照招标文件载明的资格后审条款，对投标人的企业资质等进行审查，凡不符合资格后审要求的，以无效标处理，不再进入下一阶段评审。</w:t>
      </w:r>
    </w:p>
    <w:p w14:paraId="1DBE37DE">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二、承诺审查</w:t>
      </w:r>
    </w:p>
    <w:p w14:paraId="750E9715">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评标委员会按照招标文件载明的条款，对投标人的《台州市建设工程诚信投标承诺书》进行审查，凡不符合要求的，以无效标处理，不再进入下一阶段评审。</w:t>
      </w:r>
    </w:p>
    <w:p w14:paraId="3BF22697">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三、资信技术评审（1</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p w14:paraId="0ED36F1C">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技术文件评审（10分）</w:t>
      </w:r>
    </w:p>
    <w:p w14:paraId="332E904A">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评标委员会成员针对投标人的技术文件进行评审，具体评分步骤如下：</w:t>
      </w:r>
    </w:p>
    <w:p w14:paraId="5D8C8784">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①评标委员会将对有效的技术标进行全面评审，根据各投标人的各方面进行综合评审。</w:t>
      </w:r>
    </w:p>
    <w:p w14:paraId="77578E17">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snapToGrid w:val="0"/>
          <w:color w:val="auto"/>
          <w:sz w:val="21"/>
          <w:szCs w:val="21"/>
          <w:highlight w:val="none"/>
        </w:rPr>
        <w:t>经评标委员会讨论，统一类别后并按下表分值范围独立打分（小数点保留1位），再取平均分作为技术标的分数（小数点后保留2位，第3位四舍五入）。对类别划档意见分歧较大的，可以记名投票方式确定。</w:t>
      </w:r>
    </w:p>
    <w:p w14:paraId="68ECD057">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③技术文件的编写内容为：</w:t>
      </w:r>
      <w:r>
        <w:rPr>
          <w:rFonts w:hint="eastAsia" w:ascii="宋体" w:hAnsi="宋体" w:eastAsia="宋体" w:cs="宋体"/>
          <w:b/>
          <w:bCs/>
          <w:snapToGrid w:val="0"/>
          <w:color w:val="auto"/>
          <w:sz w:val="21"/>
          <w:szCs w:val="21"/>
          <w:highlight w:val="none"/>
          <w:u w:val="single"/>
        </w:rPr>
        <w:t>针对本工程的特点、难点分析和解决措施，以及重要部位的施工方案及安全保证措施</w:t>
      </w:r>
      <w:r>
        <w:rPr>
          <w:rFonts w:hint="eastAsia" w:ascii="宋体" w:hAnsi="宋体" w:eastAsia="宋体" w:cs="宋体"/>
          <w:snapToGrid w:val="0"/>
          <w:color w:val="auto"/>
          <w:sz w:val="21"/>
          <w:szCs w:val="21"/>
          <w:highlight w:val="none"/>
        </w:rPr>
        <w:t>。</w:t>
      </w:r>
    </w:p>
    <w:p w14:paraId="41B70CC3">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snapToGrid w:val="0"/>
          <w:color w:val="auto"/>
          <w:sz w:val="21"/>
          <w:szCs w:val="21"/>
          <w:highlight w:val="none"/>
        </w:rPr>
        <w:t>技术文件评分标准</w:t>
      </w:r>
      <w:r>
        <w:rPr>
          <w:rFonts w:hint="eastAsia" w:ascii="宋体" w:hAnsi="宋体" w:eastAsia="宋体" w:cs="宋体"/>
          <w:color w:val="auto"/>
          <w:sz w:val="21"/>
          <w:szCs w:val="21"/>
          <w:highlight w:val="none"/>
        </w:rPr>
        <w:t>（10分）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1589"/>
        <w:gridCol w:w="1869"/>
        <w:gridCol w:w="1753"/>
        <w:gridCol w:w="2104"/>
      </w:tblGrid>
      <w:tr w14:paraId="0687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02" w:type="dxa"/>
            <w:tcBorders>
              <w:top w:val="single" w:color="auto" w:sz="4" w:space="0"/>
              <w:left w:val="single" w:color="auto" w:sz="4" w:space="0"/>
              <w:bottom w:val="single" w:color="auto" w:sz="4" w:space="0"/>
              <w:right w:val="single" w:color="auto" w:sz="4" w:space="0"/>
            </w:tcBorders>
            <w:noWrap w:val="0"/>
            <w:vAlign w:val="center"/>
          </w:tcPr>
          <w:p w14:paraId="12E1EDB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7086321E">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一类（好）</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2E0CAB0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二类（较好）</w:t>
            </w:r>
          </w:p>
        </w:tc>
        <w:tc>
          <w:tcPr>
            <w:tcW w:w="1753" w:type="dxa"/>
            <w:tcBorders>
              <w:top w:val="single" w:color="auto" w:sz="4" w:space="0"/>
              <w:left w:val="single" w:color="auto" w:sz="4" w:space="0"/>
              <w:bottom w:val="single" w:color="auto" w:sz="4" w:space="0"/>
              <w:right w:val="single" w:color="auto" w:sz="4" w:space="0"/>
            </w:tcBorders>
            <w:noWrap w:val="0"/>
            <w:vAlign w:val="center"/>
          </w:tcPr>
          <w:p w14:paraId="3D197FC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三类（一般）</w:t>
            </w:r>
          </w:p>
        </w:tc>
        <w:tc>
          <w:tcPr>
            <w:tcW w:w="2104" w:type="dxa"/>
            <w:tcBorders>
              <w:top w:val="single" w:color="auto" w:sz="4" w:space="0"/>
              <w:left w:val="single" w:color="auto" w:sz="4" w:space="0"/>
              <w:bottom w:val="single" w:color="auto" w:sz="4" w:space="0"/>
              <w:right w:val="single" w:color="auto" w:sz="4" w:space="0"/>
            </w:tcBorders>
            <w:noWrap w:val="0"/>
            <w:vAlign w:val="center"/>
          </w:tcPr>
          <w:p w14:paraId="610068A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四类（差）</w:t>
            </w:r>
          </w:p>
        </w:tc>
      </w:tr>
      <w:tr w14:paraId="397D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02" w:type="dxa"/>
            <w:tcBorders>
              <w:top w:val="single" w:color="auto" w:sz="4" w:space="0"/>
              <w:left w:val="single" w:color="auto" w:sz="4" w:space="0"/>
              <w:bottom w:val="single" w:color="auto" w:sz="4" w:space="0"/>
              <w:right w:val="single" w:color="auto" w:sz="4" w:space="0"/>
            </w:tcBorders>
            <w:noWrap w:val="0"/>
            <w:vAlign w:val="center"/>
          </w:tcPr>
          <w:p w14:paraId="1588A4A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分值范围</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4CFB3FFD">
            <w:pPr>
              <w:spacing w:line="40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10.0~8.0</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7BAE1D6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8.0~6.0</w:t>
            </w:r>
          </w:p>
        </w:tc>
        <w:tc>
          <w:tcPr>
            <w:tcW w:w="1753" w:type="dxa"/>
            <w:tcBorders>
              <w:top w:val="single" w:color="auto" w:sz="4" w:space="0"/>
              <w:left w:val="single" w:color="auto" w:sz="4" w:space="0"/>
              <w:bottom w:val="single" w:color="auto" w:sz="4" w:space="0"/>
              <w:right w:val="single" w:color="auto" w:sz="4" w:space="0"/>
            </w:tcBorders>
            <w:noWrap w:val="0"/>
            <w:vAlign w:val="center"/>
          </w:tcPr>
          <w:p w14:paraId="7FC05C1B">
            <w:pPr>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6.0~4.0</w:t>
            </w:r>
          </w:p>
        </w:tc>
        <w:tc>
          <w:tcPr>
            <w:tcW w:w="2104" w:type="dxa"/>
            <w:tcBorders>
              <w:top w:val="single" w:color="auto" w:sz="4" w:space="0"/>
              <w:left w:val="single" w:color="auto" w:sz="4" w:space="0"/>
              <w:bottom w:val="single" w:color="auto" w:sz="4" w:space="0"/>
              <w:right w:val="single" w:color="auto" w:sz="4" w:space="0"/>
            </w:tcBorders>
            <w:noWrap w:val="0"/>
            <w:vAlign w:val="center"/>
          </w:tcPr>
          <w:p w14:paraId="2AB1DD3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4.0~2.0</w:t>
            </w:r>
          </w:p>
        </w:tc>
      </w:tr>
    </w:tbl>
    <w:p w14:paraId="6BD6317F">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3、资信技术标得分=</w:t>
      </w:r>
      <w:r>
        <w:rPr>
          <w:rFonts w:hint="eastAsia" w:ascii="宋体" w:hAnsi="宋体" w:eastAsia="宋体" w:cs="宋体"/>
          <w:color w:val="auto"/>
          <w:sz w:val="21"/>
          <w:szCs w:val="21"/>
          <w:highlight w:val="none"/>
          <w:lang w:val="en-US" w:eastAsia="zh-CN"/>
        </w:rPr>
        <w:t>投标人的信用评价分+</w:t>
      </w:r>
      <w:r>
        <w:rPr>
          <w:rFonts w:hint="eastAsia" w:ascii="宋体" w:hAnsi="宋体" w:eastAsia="宋体" w:cs="宋体"/>
          <w:color w:val="auto"/>
          <w:sz w:val="21"/>
          <w:szCs w:val="21"/>
          <w:highlight w:val="none"/>
        </w:rPr>
        <w:t>技术文件得分</w:t>
      </w:r>
    </w:p>
    <w:p w14:paraId="24233F99">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四、商务评审（</w:t>
      </w:r>
      <w:r>
        <w:rPr>
          <w:rFonts w:hint="eastAsia" w:ascii="宋体" w:hAnsi="宋体" w:eastAsia="宋体" w:cs="宋体"/>
          <w:b/>
          <w:bCs/>
          <w:color w:val="auto"/>
          <w:sz w:val="21"/>
          <w:szCs w:val="21"/>
          <w:highlight w:val="none"/>
          <w:lang w:val="en-US" w:eastAsia="zh-CN"/>
        </w:rPr>
        <w:t>90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 xml:space="preserve"> </w:t>
      </w:r>
    </w:p>
    <w:p w14:paraId="01ADFB2C">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1、评标委员会对投标人的商务标进行审查，发现不符合招标文件要求的，应当否决其投标。</w:t>
      </w:r>
    </w:p>
    <w:p w14:paraId="16635204">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2、评标标底价（以元为单位，</w:t>
      </w:r>
      <w:r>
        <w:rPr>
          <w:rFonts w:hint="eastAsia" w:ascii="宋体" w:hAnsi="宋体" w:eastAsia="宋体" w:cs="宋体"/>
          <w:color w:val="auto"/>
          <w:sz w:val="21"/>
          <w:szCs w:val="21"/>
          <w:highlight w:val="none"/>
          <w:lang w:val="en-US" w:eastAsia="zh-CN"/>
        </w:rPr>
        <w:t>保留整数，</w:t>
      </w:r>
      <w:r>
        <w:rPr>
          <w:rFonts w:hint="eastAsia" w:ascii="宋体" w:hAnsi="宋体" w:eastAsia="宋体" w:cs="宋体"/>
          <w:color w:val="auto"/>
          <w:sz w:val="21"/>
          <w:szCs w:val="21"/>
          <w:highlight w:val="none"/>
        </w:rPr>
        <w:t>小数点后</w:t>
      </w:r>
      <w:r>
        <w:rPr>
          <w:rFonts w:hint="eastAsia" w:ascii="宋体" w:hAnsi="宋体" w:eastAsia="宋体" w:cs="宋体"/>
          <w:color w:val="auto"/>
          <w:sz w:val="21"/>
          <w:szCs w:val="21"/>
          <w:highlight w:val="none"/>
          <w:lang w:val="en-US" w:eastAsia="zh-CN"/>
        </w:rPr>
        <w:t>第1</w:t>
      </w:r>
      <w:r>
        <w:rPr>
          <w:rFonts w:hint="eastAsia" w:ascii="宋体" w:hAnsi="宋体" w:eastAsia="宋体" w:cs="宋体"/>
          <w:color w:val="auto"/>
          <w:sz w:val="21"/>
          <w:szCs w:val="21"/>
          <w:highlight w:val="none"/>
        </w:rPr>
        <w:t>位四舍五入）</w:t>
      </w:r>
    </w:p>
    <w:p w14:paraId="04489EC1">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最高投标限价乘以调整系数作为评标标底价，即评标标底价＝最高投标限价×调整系数。</w:t>
      </w:r>
    </w:p>
    <w:p w14:paraId="23F2E67F">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调整系数＝（100-D）%，D值在0.00～0.99范围内随机抽取产生。先从0～9中抽取十分位数字X，再从0～9中抽取百分位数字Y，则抽取的D值即为0.XY；D值一经抽取，在整个招标过程中均不发生改动。</w:t>
      </w:r>
    </w:p>
    <w:p w14:paraId="304BCFC3">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3、商务标得分（小数点后保留2位，小数点后第3位四舍五入）</w:t>
      </w:r>
    </w:p>
    <w:p w14:paraId="65EC24D6">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投标人的投标报价等于评标标底价的得</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分。偏离评标标底价的，每高于或每低于评标标底价1个百分点的均扣1分，即商务标得分=</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-（|投标报价-评标标底价|/评标标底价）×100×1。</w:t>
      </w:r>
    </w:p>
    <w:p w14:paraId="279E9952">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五、评标总得分的确定</w:t>
      </w:r>
    </w:p>
    <w:p w14:paraId="0E048E19">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投标人的评标总得分＝资信技术标得分＋商务标得分。</w:t>
      </w:r>
    </w:p>
    <w:p w14:paraId="1EF82CC0">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六、中标候选人的确定</w:t>
      </w:r>
    </w:p>
    <w:p w14:paraId="5291BFEF">
      <w:pPr>
        <w:pStyle w:val="15"/>
        <w:keepNext w:val="0"/>
        <w:keepLines w:val="0"/>
        <w:pageBreakBefore w:val="0"/>
        <w:widowControl w:val="0"/>
        <w:kinsoku/>
        <w:wordWrap/>
        <w:overflowPunct/>
        <w:topLinePunct w:val="0"/>
        <w:autoSpaceDE/>
        <w:autoSpaceDN/>
        <w:bidi w:val="0"/>
        <w:adjustRightInd w:val="0"/>
        <w:snapToGrid w:val="0"/>
        <w:spacing w:line="340" w:lineRule="exact"/>
        <w:ind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评标委员会按评标总得分确定中标候选人，即总得分最高者为第一中标候选人，次高者为第二中标候选人。如出现总得分相同的，按以下优先顺序确定中标候选人推荐次序：</w:t>
      </w:r>
    </w:p>
    <w:p w14:paraId="6CACB740">
      <w:pPr>
        <w:pStyle w:val="15"/>
        <w:keepNext w:val="0"/>
        <w:keepLines w:val="0"/>
        <w:pageBreakBefore w:val="0"/>
        <w:widowControl w:val="0"/>
        <w:kinsoku/>
        <w:wordWrap/>
        <w:overflowPunct/>
        <w:topLinePunct w:val="0"/>
        <w:autoSpaceDE/>
        <w:autoSpaceDN/>
        <w:bidi w:val="0"/>
        <w:adjustRightInd w:val="0"/>
        <w:snapToGrid w:val="0"/>
        <w:spacing w:line="340" w:lineRule="exact"/>
        <w:ind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（一）资信技术标得分高者；</w:t>
      </w:r>
    </w:p>
    <w:p w14:paraId="54B5FA30">
      <w:pPr>
        <w:pStyle w:val="15"/>
        <w:keepNext w:val="0"/>
        <w:keepLines w:val="0"/>
        <w:pageBreakBefore w:val="0"/>
        <w:widowControl w:val="0"/>
        <w:kinsoku/>
        <w:wordWrap/>
        <w:overflowPunct/>
        <w:topLinePunct w:val="0"/>
        <w:autoSpaceDE/>
        <w:autoSpaceDN/>
        <w:bidi w:val="0"/>
        <w:adjustRightInd w:val="0"/>
        <w:snapToGrid w:val="0"/>
        <w:spacing w:line="340" w:lineRule="exact"/>
        <w:ind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（二）投标报价低者；</w:t>
      </w:r>
    </w:p>
    <w:p w14:paraId="0A4D4596">
      <w:pPr>
        <w:pStyle w:val="15"/>
        <w:keepNext w:val="0"/>
        <w:keepLines w:val="0"/>
        <w:pageBreakBefore w:val="0"/>
        <w:widowControl w:val="0"/>
        <w:kinsoku/>
        <w:wordWrap/>
        <w:overflowPunct/>
        <w:topLinePunct w:val="0"/>
        <w:autoSpaceDE/>
        <w:autoSpaceDN/>
        <w:bidi w:val="0"/>
        <w:adjustRightInd w:val="0"/>
        <w:snapToGrid w:val="0"/>
        <w:spacing w:line="340" w:lineRule="exact"/>
        <w:ind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（三）抽签确定。</w:t>
      </w:r>
    </w:p>
    <w:p w14:paraId="28B72DD2">
      <w:pPr>
        <w:pStyle w:val="15"/>
        <w:spacing w:line="288" w:lineRule="auto"/>
        <w:ind w:firstLineChars="200"/>
        <w:rPr>
          <w:rFonts w:hint="eastAsia" w:ascii="宋体" w:hAnsi="宋体" w:eastAsia="宋体"/>
          <w:color w:val="auto"/>
          <w:sz w:val="21"/>
          <w:szCs w:val="32"/>
          <w:highlight w:val="none"/>
        </w:rPr>
      </w:pPr>
    </w:p>
    <w:p w14:paraId="7A411F3F">
      <w:pPr>
        <w:pStyle w:val="5"/>
        <w:rPr>
          <w:rFonts w:hint="eastAsia"/>
          <w:color w:val="auto"/>
          <w:highlight w:val="none"/>
        </w:rPr>
        <w:sectPr>
          <w:headerReference r:id="rId10" w:type="first"/>
          <w:headerReference r:id="rId9" w:type="default"/>
          <w:footerReference r:id="rId11" w:type="default"/>
          <w:footnotePr>
            <w:numRestart w:val="eachPage"/>
          </w:footnotePr>
          <w:endnotePr>
            <w:numRestart w:val="eachSect"/>
          </w:endnotePr>
          <w:pgSz w:w="11907" w:h="16840"/>
          <w:pgMar w:top="1247" w:right="1361" w:bottom="1247" w:left="1361" w:header="851" w:footer="838" w:gutter="0"/>
          <w:cols w:space="720" w:num="1"/>
          <w:docGrid w:linePitch="435" w:charSpace="-6554"/>
        </w:sectPr>
      </w:pPr>
      <w:bookmarkStart w:id="724" w:name="_Toc169487824"/>
      <w:r>
        <w:rPr>
          <w:rFonts w:hint="eastAsia"/>
          <w:color w:val="auto"/>
          <w:highlight w:val="none"/>
        </w:rPr>
        <w:br w:type="page"/>
      </w:r>
      <w:r>
        <w:rPr>
          <w:rFonts w:hint="eastAsia"/>
          <w:color w:val="auto"/>
          <w:highlight w:val="none"/>
        </w:rPr>
        <w:t>第六章  投标文件格式</w:t>
      </w:r>
      <w:bookmarkEnd w:id="724"/>
    </w:p>
    <w:p w14:paraId="6AF04750">
      <w:pPr>
        <w:pStyle w:val="42"/>
        <w:spacing w:before="0" w:after="0"/>
        <w:jc w:val="both"/>
        <w:rPr>
          <w:rFonts w:hint="eastAsia" w:ascii="宋体" w:hAnsi="宋体" w:cs="Times New Roman"/>
          <w:b w:val="0"/>
          <w:bCs w:val="0"/>
          <w:color w:val="auto"/>
          <w:highlight w:val="none"/>
        </w:rPr>
      </w:pPr>
      <w:r>
        <w:rPr>
          <w:rFonts w:hint="eastAsia" w:ascii="宋体" w:hAnsi="宋体" w:cs="Times New Roman"/>
          <w:b w:val="0"/>
          <w:bCs w:val="0"/>
          <w:color w:val="auto"/>
          <w:sz w:val="28"/>
          <w:szCs w:val="28"/>
          <w:highlight w:val="none"/>
        </w:rPr>
        <w:t>附件一：</w:t>
      </w:r>
    </w:p>
    <w:p w14:paraId="1568AC3A">
      <w:pPr>
        <w:spacing w:line="480" w:lineRule="auto"/>
        <w:jc w:val="center"/>
        <w:rPr>
          <w:rFonts w:hint="eastAsia" w:eastAsia="仿宋_GB2312"/>
          <w:b/>
          <w:bCs/>
          <w:color w:val="auto"/>
          <w:sz w:val="28"/>
          <w:highlight w:val="none"/>
          <w:lang w:eastAsia="zh-CN"/>
        </w:rPr>
      </w:pPr>
      <w:r>
        <w:rPr>
          <w:rFonts w:hint="eastAsia" w:ascii="宋体" w:hAnsi="宋体" w:eastAsia="宋体" w:cs="宋体"/>
          <w:b/>
          <w:bCs/>
          <w:color w:val="auto"/>
          <w:highlight w:val="none"/>
          <w:lang w:eastAsia="zh-CN"/>
        </w:rPr>
        <w:t>天和大厦钢结构除锈工程</w:t>
      </w:r>
    </w:p>
    <w:p w14:paraId="55176610">
      <w:pPr>
        <w:spacing w:line="48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台州市建设工程诚信投标承诺书</w:t>
      </w:r>
    </w:p>
    <w:p w14:paraId="452BDA46">
      <w:pPr>
        <w:adjustRightInd w:val="0"/>
        <w:snapToGrid w:val="0"/>
        <w:spacing w:line="360" w:lineRule="auto"/>
        <w:rPr>
          <w:rFonts w:hint="eastAsia" w:eastAsia="宋体"/>
          <w:color w:val="auto"/>
          <w:sz w:val="28"/>
          <w:szCs w:val="32"/>
          <w:highlight w:val="none"/>
        </w:rPr>
      </w:pPr>
      <w:r>
        <w:rPr>
          <w:rFonts w:hint="eastAsia" w:eastAsia="宋体"/>
          <w:color w:val="auto"/>
          <w:sz w:val="28"/>
          <w:szCs w:val="32"/>
          <w:highlight w:val="none"/>
        </w:rPr>
        <w:t>本人以企业法定代表人的身份郑重承诺：</w:t>
      </w:r>
    </w:p>
    <w:p w14:paraId="446071DF">
      <w:pPr>
        <w:adjustRightInd w:val="0"/>
        <w:snapToGrid w:val="0"/>
        <w:spacing w:line="360" w:lineRule="auto"/>
        <w:ind w:firstLine="560" w:firstLineChars="200"/>
        <w:rPr>
          <w:rFonts w:hint="eastAsia" w:eastAsia="宋体"/>
          <w:color w:val="auto"/>
          <w:sz w:val="28"/>
          <w:szCs w:val="32"/>
          <w:highlight w:val="none"/>
        </w:rPr>
      </w:pPr>
      <w:r>
        <w:rPr>
          <w:rFonts w:hint="eastAsia" w:eastAsia="宋体"/>
          <w:color w:val="auto"/>
          <w:sz w:val="28"/>
          <w:szCs w:val="32"/>
          <w:highlight w:val="none"/>
        </w:rPr>
        <w:t>一、将遵循公开、公平、公正和诚实信用的原则参加</w:t>
      </w:r>
      <w:r>
        <w:rPr>
          <w:rFonts w:hint="eastAsia" w:eastAsia="宋体"/>
          <w:b/>
          <w:bCs/>
          <w:color w:val="auto"/>
          <w:sz w:val="28"/>
          <w:szCs w:val="32"/>
          <w:highlight w:val="none"/>
          <w:u w:val="single"/>
          <w:lang w:eastAsia="zh-CN"/>
        </w:rPr>
        <w:t>天和大厦钢结构除锈工程</w:t>
      </w:r>
      <w:r>
        <w:rPr>
          <w:rFonts w:hint="eastAsia" w:eastAsia="宋体"/>
          <w:color w:val="auto"/>
          <w:sz w:val="28"/>
          <w:szCs w:val="32"/>
          <w:highlight w:val="none"/>
        </w:rPr>
        <w:t>（工程项目名称）的投标；</w:t>
      </w:r>
    </w:p>
    <w:p w14:paraId="32F598D0">
      <w:pPr>
        <w:adjustRightInd w:val="0"/>
        <w:snapToGrid w:val="0"/>
        <w:spacing w:line="360" w:lineRule="auto"/>
        <w:ind w:firstLine="560" w:firstLineChars="200"/>
        <w:rPr>
          <w:rFonts w:hint="eastAsia" w:eastAsia="宋体"/>
          <w:color w:val="auto"/>
          <w:sz w:val="28"/>
          <w:szCs w:val="32"/>
          <w:highlight w:val="none"/>
        </w:rPr>
      </w:pPr>
      <w:r>
        <w:rPr>
          <w:rFonts w:hint="eastAsia" w:eastAsia="宋体"/>
          <w:color w:val="auto"/>
          <w:sz w:val="28"/>
          <w:szCs w:val="32"/>
          <w:highlight w:val="none"/>
        </w:rPr>
        <w:t>二、所提供的一切材料都是真实、有效、合法的；</w:t>
      </w:r>
    </w:p>
    <w:p w14:paraId="691AA492">
      <w:pPr>
        <w:adjustRightInd w:val="0"/>
        <w:snapToGrid w:val="0"/>
        <w:spacing w:line="360" w:lineRule="auto"/>
        <w:ind w:firstLine="560" w:firstLineChars="200"/>
        <w:rPr>
          <w:rFonts w:hint="eastAsia" w:eastAsia="宋体"/>
          <w:color w:val="auto"/>
          <w:sz w:val="28"/>
          <w:szCs w:val="32"/>
          <w:highlight w:val="none"/>
        </w:rPr>
      </w:pPr>
      <w:r>
        <w:rPr>
          <w:rFonts w:hint="eastAsia" w:eastAsia="宋体"/>
          <w:color w:val="auto"/>
          <w:sz w:val="28"/>
          <w:szCs w:val="32"/>
          <w:highlight w:val="none"/>
        </w:rPr>
        <w:t>三、不与其他投标人相互串通投标报价，不排挤其他投标人的公平竞争，不损害招标人或其他投标人的合法权益；</w:t>
      </w:r>
    </w:p>
    <w:p w14:paraId="51009B9E">
      <w:pPr>
        <w:adjustRightInd w:val="0"/>
        <w:snapToGrid w:val="0"/>
        <w:spacing w:line="360" w:lineRule="auto"/>
        <w:ind w:firstLine="560" w:firstLineChars="200"/>
        <w:rPr>
          <w:rFonts w:hint="eastAsia" w:eastAsia="宋体"/>
          <w:color w:val="auto"/>
          <w:sz w:val="28"/>
          <w:szCs w:val="32"/>
          <w:highlight w:val="none"/>
        </w:rPr>
      </w:pPr>
      <w:r>
        <w:rPr>
          <w:rFonts w:hint="eastAsia" w:eastAsia="宋体"/>
          <w:color w:val="auto"/>
          <w:sz w:val="28"/>
          <w:szCs w:val="32"/>
          <w:highlight w:val="none"/>
        </w:rPr>
        <w:t>四、不与招标人或招标代理机构串通投标，损害国家利益、社会公共利益或者他人的合法权益；</w:t>
      </w:r>
    </w:p>
    <w:p w14:paraId="083D90C9">
      <w:pPr>
        <w:adjustRightInd w:val="0"/>
        <w:snapToGrid w:val="0"/>
        <w:spacing w:line="360" w:lineRule="auto"/>
        <w:ind w:firstLine="560" w:firstLineChars="200"/>
        <w:rPr>
          <w:rFonts w:hint="eastAsia" w:eastAsia="宋体"/>
          <w:color w:val="auto"/>
          <w:sz w:val="28"/>
          <w:szCs w:val="32"/>
          <w:highlight w:val="none"/>
        </w:rPr>
      </w:pPr>
      <w:r>
        <w:rPr>
          <w:rFonts w:hint="eastAsia" w:eastAsia="宋体"/>
          <w:color w:val="auto"/>
          <w:sz w:val="28"/>
          <w:szCs w:val="32"/>
          <w:highlight w:val="none"/>
        </w:rPr>
        <w:t>五、不向招标人或者评标委员会成员行贿以牟取中标；</w:t>
      </w:r>
    </w:p>
    <w:p w14:paraId="24362037">
      <w:pPr>
        <w:adjustRightInd w:val="0"/>
        <w:snapToGrid w:val="0"/>
        <w:spacing w:line="360" w:lineRule="auto"/>
        <w:ind w:firstLine="560" w:firstLineChars="200"/>
        <w:rPr>
          <w:rFonts w:hint="eastAsia" w:eastAsia="宋体"/>
          <w:color w:val="auto"/>
          <w:sz w:val="28"/>
          <w:szCs w:val="32"/>
          <w:highlight w:val="none"/>
        </w:rPr>
      </w:pPr>
      <w:r>
        <w:rPr>
          <w:rFonts w:hint="eastAsia" w:eastAsia="宋体"/>
          <w:color w:val="auto"/>
          <w:sz w:val="28"/>
          <w:szCs w:val="32"/>
          <w:highlight w:val="none"/>
        </w:rPr>
        <w:t>六、不以他人名义投标或者以其他方式弄虚作假，骗取中标。</w:t>
      </w:r>
    </w:p>
    <w:p w14:paraId="0C420107">
      <w:pPr>
        <w:spacing w:line="360" w:lineRule="auto"/>
        <w:ind w:firstLine="560" w:firstLineChars="200"/>
        <w:rPr>
          <w:rFonts w:hint="eastAsia" w:eastAsia="宋体"/>
          <w:color w:val="auto"/>
          <w:sz w:val="28"/>
          <w:highlight w:val="none"/>
        </w:rPr>
      </w:pPr>
      <w:r>
        <w:rPr>
          <w:rFonts w:hint="eastAsia" w:eastAsia="宋体"/>
          <w:color w:val="auto"/>
          <w:sz w:val="28"/>
          <w:szCs w:val="32"/>
          <w:highlight w:val="none"/>
        </w:rPr>
        <w:t>本公司若有违反本承诺内容的行为，愿意承担法律责任。如已中标的，自动放弃中标资格；给招标人造成损失的，依法承担赔偿责任。</w:t>
      </w:r>
    </w:p>
    <w:p w14:paraId="36B91518">
      <w:pPr>
        <w:spacing w:line="360" w:lineRule="auto"/>
        <w:ind w:firstLine="700" w:firstLineChars="200"/>
        <w:rPr>
          <w:rFonts w:eastAsia="宋体"/>
          <w:color w:val="auto"/>
          <w:w w:val="125"/>
          <w:sz w:val="28"/>
          <w:highlight w:val="none"/>
        </w:rPr>
      </w:pPr>
    </w:p>
    <w:p w14:paraId="7E0BE443">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法定代表人（签字或盖章）：     </w:t>
      </w:r>
    </w:p>
    <w:p w14:paraId="56F42702">
      <w:pPr>
        <w:rPr>
          <w:rFonts w:hint="eastAsia" w:ascii="宋体" w:hAnsi="宋体" w:eastAsia="宋体"/>
          <w:color w:val="auto"/>
          <w:sz w:val="28"/>
          <w:szCs w:val="28"/>
          <w:highlight w:val="none"/>
        </w:rPr>
      </w:pPr>
    </w:p>
    <w:p w14:paraId="56BE8ADE">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投标人（盖章）：</w:t>
      </w:r>
    </w:p>
    <w:p w14:paraId="1AA0D466">
      <w:pPr>
        <w:jc w:val="right"/>
        <w:rPr>
          <w:rFonts w:hint="eastAsia" w:ascii="宋体" w:hAnsi="宋体" w:eastAsia="宋体"/>
          <w:color w:val="auto"/>
          <w:sz w:val="28"/>
          <w:szCs w:val="28"/>
          <w:highlight w:val="none"/>
        </w:rPr>
      </w:pPr>
    </w:p>
    <w:p w14:paraId="176C812C">
      <w:pPr>
        <w:pStyle w:val="27"/>
        <w:ind w:firstLine="6020" w:firstLineChars="2150"/>
        <w:rPr>
          <w:rFonts w:hint="eastAsia" w:ascii="宋体" w:hAnsi="宋体" w:eastAsia="宋体"/>
          <w:color w:val="auto"/>
          <w:szCs w:val="28"/>
          <w:highlight w:val="none"/>
        </w:rPr>
      </w:pPr>
      <w:r>
        <w:rPr>
          <w:rFonts w:hint="eastAsia" w:eastAsia="宋体"/>
          <w:color w:val="auto"/>
          <w:highlight w:val="none"/>
        </w:rPr>
        <w:t>日期：     年   月   日</w:t>
      </w:r>
    </w:p>
    <w:p w14:paraId="6166C922">
      <w:pPr>
        <w:wordWrap w:val="0"/>
        <w:adjustRightInd w:val="0"/>
        <w:snapToGrid w:val="0"/>
        <w:spacing w:line="360" w:lineRule="auto"/>
        <w:ind w:firstLine="280" w:firstLineChars="100"/>
        <w:jc w:val="right"/>
        <w:rPr>
          <w:rFonts w:hint="eastAsia" w:eastAsia="宋体"/>
          <w:color w:val="auto"/>
          <w:sz w:val="28"/>
          <w:highlight w:val="none"/>
        </w:rPr>
      </w:pPr>
    </w:p>
    <w:p w14:paraId="51541C22">
      <w:pPr>
        <w:rPr>
          <w:rFonts w:eastAsia="宋体"/>
          <w:color w:val="auto"/>
          <w:highlight w:val="none"/>
        </w:rPr>
        <w:sectPr>
          <w:headerReference r:id="rId12" w:type="first"/>
          <w:footnotePr>
            <w:numRestart w:val="eachPage"/>
          </w:footnotePr>
          <w:endnotePr>
            <w:numRestart w:val="eachSect"/>
          </w:endnotePr>
          <w:pgSz w:w="11907" w:h="16840"/>
          <w:pgMar w:top="1361" w:right="1247" w:bottom="1247" w:left="1304" w:header="851" w:footer="992" w:gutter="0"/>
          <w:cols w:space="720" w:num="1"/>
          <w:titlePg/>
          <w:docGrid w:linePitch="435" w:charSpace="-6554"/>
        </w:sectPr>
      </w:pPr>
    </w:p>
    <w:p w14:paraId="4379C56B">
      <w:pPr>
        <w:pStyle w:val="42"/>
        <w:spacing w:before="0" w:after="0"/>
        <w:jc w:val="both"/>
        <w:rPr>
          <w:rFonts w:hint="eastAsia" w:ascii="宋体" w:hAnsi="宋体" w:cs="宋体"/>
          <w:color w:val="auto"/>
          <w:highlight w:val="none"/>
        </w:rPr>
      </w:pPr>
      <w:r>
        <w:rPr>
          <w:rFonts w:hint="eastAsia"/>
          <w:b w:val="0"/>
          <w:bCs w:val="0"/>
          <w:color w:val="auto"/>
          <w:sz w:val="28"/>
          <w:szCs w:val="28"/>
          <w:highlight w:val="none"/>
        </w:rPr>
        <w:t>附件二：</w:t>
      </w:r>
    </w:p>
    <w:p w14:paraId="1F87151E">
      <w:pPr>
        <w:adjustRightInd w:val="0"/>
        <w:snapToGrid w:val="0"/>
        <w:spacing w:line="480" w:lineRule="auto"/>
        <w:jc w:val="center"/>
        <w:rPr>
          <w:rFonts w:hint="eastAsia" w:eastAsia="宋体"/>
          <w:bCs/>
          <w:color w:val="auto"/>
          <w:sz w:val="30"/>
          <w:highlight w:val="none"/>
        </w:rPr>
      </w:pPr>
      <w:r>
        <w:rPr>
          <w:rFonts w:hint="eastAsia" w:ascii="宋体" w:hAnsi="宋体" w:eastAsia="宋体" w:cs="宋体"/>
          <w:b/>
          <w:bCs/>
          <w:color w:val="auto"/>
          <w:highlight w:val="none"/>
          <w:lang w:eastAsia="zh-CN"/>
        </w:rPr>
        <w:t>天和大厦钢结构除锈工程</w:t>
      </w:r>
      <w:r>
        <w:rPr>
          <w:rFonts w:hint="eastAsia" w:eastAsia="宋体"/>
          <w:bCs/>
          <w:color w:val="auto"/>
          <w:sz w:val="30"/>
          <w:highlight w:val="none"/>
        </w:rPr>
        <w:t xml:space="preserve"> </w:t>
      </w:r>
    </w:p>
    <w:p w14:paraId="709AE2DE">
      <w:pPr>
        <w:adjustRightInd w:val="0"/>
        <w:snapToGrid w:val="0"/>
        <w:spacing w:line="480" w:lineRule="auto"/>
        <w:jc w:val="center"/>
        <w:rPr>
          <w:rFonts w:hint="eastAsia" w:ascii="黑体" w:hAnsi="宋体" w:eastAsia="黑体"/>
          <w:b/>
          <w:color w:val="auto"/>
          <w:sz w:val="28"/>
          <w:szCs w:val="28"/>
          <w:highlight w:val="none"/>
        </w:rPr>
      </w:pPr>
      <w:r>
        <w:rPr>
          <w:rFonts w:hint="eastAsia" w:ascii="宋体" w:hAnsi="宋体" w:eastAsia="宋体" w:cs="宋体"/>
          <w:b/>
          <w:color w:val="auto"/>
          <w:sz w:val="28"/>
          <w:szCs w:val="28"/>
          <w:highlight w:val="none"/>
        </w:rPr>
        <w:t>主要施工机械设备表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523"/>
        <w:gridCol w:w="1634"/>
        <w:gridCol w:w="858"/>
        <w:gridCol w:w="1580"/>
        <w:gridCol w:w="1580"/>
        <w:gridCol w:w="1435"/>
      </w:tblGrid>
      <w:tr w14:paraId="2069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center"/>
          </w:tcPr>
          <w:p w14:paraId="08A86615">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序号</w:t>
            </w:r>
          </w:p>
        </w:tc>
        <w:tc>
          <w:tcPr>
            <w:tcW w:w="1523" w:type="dxa"/>
            <w:noWrap w:val="0"/>
            <w:vAlign w:val="center"/>
          </w:tcPr>
          <w:p w14:paraId="5976527F">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设备名称</w:t>
            </w:r>
          </w:p>
        </w:tc>
        <w:tc>
          <w:tcPr>
            <w:tcW w:w="1634" w:type="dxa"/>
            <w:noWrap w:val="0"/>
            <w:vAlign w:val="center"/>
          </w:tcPr>
          <w:p w14:paraId="43EFA3C2">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规格型号</w:t>
            </w:r>
          </w:p>
        </w:tc>
        <w:tc>
          <w:tcPr>
            <w:tcW w:w="858" w:type="dxa"/>
            <w:noWrap w:val="0"/>
            <w:vAlign w:val="center"/>
          </w:tcPr>
          <w:p w14:paraId="11967361">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数量</w:t>
            </w:r>
          </w:p>
        </w:tc>
        <w:tc>
          <w:tcPr>
            <w:tcW w:w="1580" w:type="dxa"/>
            <w:noWrap w:val="0"/>
            <w:vAlign w:val="center"/>
          </w:tcPr>
          <w:p w14:paraId="14AF83BB">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设备能力</w:t>
            </w:r>
          </w:p>
        </w:tc>
        <w:tc>
          <w:tcPr>
            <w:tcW w:w="1580" w:type="dxa"/>
            <w:noWrap w:val="0"/>
            <w:vAlign w:val="center"/>
          </w:tcPr>
          <w:p w14:paraId="04680FB6">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进场时间</w:t>
            </w:r>
          </w:p>
        </w:tc>
        <w:tc>
          <w:tcPr>
            <w:tcW w:w="1435" w:type="dxa"/>
            <w:noWrap w:val="0"/>
            <w:vAlign w:val="center"/>
          </w:tcPr>
          <w:p w14:paraId="54F82137">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备注</w:t>
            </w:r>
          </w:p>
        </w:tc>
      </w:tr>
      <w:tr w14:paraId="026E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71A15A28">
            <w:pPr>
              <w:rPr>
                <w:rFonts w:hint="eastAsia" w:ascii="宋体" w:hAnsi="宋体" w:eastAsia="宋体"/>
                <w:color w:val="auto"/>
                <w:sz w:val="28"/>
                <w:szCs w:val="28"/>
                <w:highlight w:val="none"/>
              </w:rPr>
            </w:pPr>
          </w:p>
        </w:tc>
        <w:tc>
          <w:tcPr>
            <w:tcW w:w="1523" w:type="dxa"/>
            <w:noWrap w:val="0"/>
            <w:vAlign w:val="top"/>
          </w:tcPr>
          <w:p w14:paraId="78898EC3">
            <w:pPr>
              <w:rPr>
                <w:rFonts w:hint="eastAsia" w:ascii="宋体" w:hAnsi="宋体" w:eastAsia="宋体"/>
                <w:color w:val="auto"/>
                <w:sz w:val="28"/>
                <w:szCs w:val="28"/>
                <w:highlight w:val="none"/>
              </w:rPr>
            </w:pPr>
          </w:p>
        </w:tc>
        <w:tc>
          <w:tcPr>
            <w:tcW w:w="1634" w:type="dxa"/>
            <w:noWrap w:val="0"/>
            <w:vAlign w:val="top"/>
          </w:tcPr>
          <w:p w14:paraId="1C0F17DF">
            <w:pPr>
              <w:rPr>
                <w:rFonts w:hint="eastAsia" w:ascii="宋体" w:hAnsi="宋体" w:eastAsia="宋体"/>
                <w:color w:val="auto"/>
                <w:sz w:val="28"/>
                <w:szCs w:val="28"/>
                <w:highlight w:val="none"/>
              </w:rPr>
            </w:pPr>
          </w:p>
        </w:tc>
        <w:tc>
          <w:tcPr>
            <w:tcW w:w="858" w:type="dxa"/>
            <w:noWrap w:val="0"/>
            <w:vAlign w:val="top"/>
          </w:tcPr>
          <w:p w14:paraId="141ED306">
            <w:pPr>
              <w:rPr>
                <w:rFonts w:hint="eastAsia" w:ascii="宋体" w:hAnsi="宋体" w:eastAsia="宋体"/>
                <w:color w:val="auto"/>
                <w:sz w:val="28"/>
                <w:szCs w:val="28"/>
                <w:highlight w:val="none"/>
              </w:rPr>
            </w:pPr>
          </w:p>
        </w:tc>
        <w:tc>
          <w:tcPr>
            <w:tcW w:w="1580" w:type="dxa"/>
            <w:noWrap w:val="0"/>
            <w:vAlign w:val="top"/>
          </w:tcPr>
          <w:p w14:paraId="0E431EFD">
            <w:pPr>
              <w:rPr>
                <w:rFonts w:hint="eastAsia" w:ascii="宋体" w:hAnsi="宋体" w:eastAsia="宋体"/>
                <w:color w:val="auto"/>
                <w:sz w:val="28"/>
                <w:szCs w:val="28"/>
                <w:highlight w:val="none"/>
              </w:rPr>
            </w:pPr>
          </w:p>
        </w:tc>
        <w:tc>
          <w:tcPr>
            <w:tcW w:w="1580" w:type="dxa"/>
            <w:noWrap w:val="0"/>
            <w:vAlign w:val="top"/>
          </w:tcPr>
          <w:p w14:paraId="210F5E6E">
            <w:pPr>
              <w:rPr>
                <w:rFonts w:hint="eastAsia" w:ascii="宋体" w:hAnsi="宋体" w:eastAsia="宋体"/>
                <w:color w:val="auto"/>
                <w:sz w:val="28"/>
                <w:szCs w:val="28"/>
                <w:highlight w:val="none"/>
              </w:rPr>
            </w:pPr>
          </w:p>
        </w:tc>
        <w:tc>
          <w:tcPr>
            <w:tcW w:w="1435" w:type="dxa"/>
            <w:noWrap w:val="0"/>
            <w:vAlign w:val="top"/>
          </w:tcPr>
          <w:p w14:paraId="6E2080A9">
            <w:pPr>
              <w:rPr>
                <w:rFonts w:hint="eastAsia" w:ascii="宋体" w:hAnsi="宋体" w:eastAsia="宋体"/>
                <w:color w:val="auto"/>
                <w:sz w:val="28"/>
                <w:szCs w:val="28"/>
                <w:highlight w:val="none"/>
              </w:rPr>
            </w:pPr>
          </w:p>
        </w:tc>
      </w:tr>
      <w:tr w14:paraId="52F5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568A1FA0">
            <w:pPr>
              <w:rPr>
                <w:rFonts w:hint="eastAsia" w:ascii="宋体" w:hAnsi="宋体" w:eastAsia="宋体"/>
                <w:color w:val="auto"/>
                <w:sz w:val="28"/>
                <w:szCs w:val="28"/>
                <w:highlight w:val="none"/>
              </w:rPr>
            </w:pPr>
          </w:p>
        </w:tc>
        <w:tc>
          <w:tcPr>
            <w:tcW w:w="1523" w:type="dxa"/>
            <w:noWrap w:val="0"/>
            <w:vAlign w:val="top"/>
          </w:tcPr>
          <w:p w14:paraId="40607B6E">
            <w:pPr>
              <w:rPr>
                <w:rFonts w:hint="eastAsia" w:ascii="宋体" w:hAnsi="宋体" w:eastAsia="宋体"/>
                <w:color w:val="auto"/>
                <w:sz w:val="28"/>
                <w:szCs w:val="28"/>
                <w:highlight w:val="none"/>
              </w:rPr>
            </w:pPr>
          </w:p>
        </w:tc>
        <w:tc>
          <w:tcPr>
            <w:tcW w:w="1634" w:type="dxa"/>
            <w:noWrap w:val="0"/>
            <w:vAlign w:val="top"/>
          </w:tcPr>
          <w:p w14:paraId="70BA83E7">
            <w:pPr>
              <w:rPr>
                <w:rFonts w:hint="eastAsia" w:ascii="宋体" w:hAnsi="宋体" w:eastAsia="宋体"/>
                <w:color w:val="auto"/>
                <w:sz w:val="28"/>
                <w:szCs w:val="28"/>
                <w:highlight w:val="none"/>
              </w:rPr>
            </w:pPr>
          </w:p>
        </w:tc>
        <w:tc>
          <w:tcPr>
            <w:tcW w:w="858" w:type="dxa"/>
            <w:noWrap w:val="0"/>
            <w:vAlign w:val="top"/>
          </w:tcPr>
          <w:p w14:paraId="6A5C6182">
            <w:pPr>
              <w:rPr>
                <w:rFonts w:hint="eastAsia" w:ascii="宋体" w:hAnsi="宋体" w:eastAsia="宋体"/>
                <w:color w:val="auto"/>
                <w:sz w:val="28"/>
                <w:szCs w:val="28"/>
                <w:highlight w:val="none"/>
              </w:rPr>
            </w:pPr>
          </w:p>
        </w:tc>
        <w:tc>
          <w:tcPr>
            <w:tcW w:w="1580" w:type="dxa"/>
            <w:noWrap w:val="0"/>
            <w:vAlign w:val="top"/>
          </w:tcPr>
          <w:p w14:paraId="7BD2A3CD">
            <w:pPr>
              <w:rPr>
                <w:rFonts w:hint="eastAsia" w:ascii="宋体" w:hAnsi="宋体" w:eastAsia="宋体"/>
                <w:color w:val="auto"/>
                <w:sz w:val="28"/>
                <w:szCs w:val="28"/>
                <w:highlight w:val="none"/>
              </w:rPr>
            </w:pPr>
          </w:p>
        </w:tc>
        <w:tc>
          <w:tcPr>
            <w:tcW w:w="1580" w:type="dxa"/>
            <w:noWrap w:val="0"/>
            <w:vAlign w:val="top"/>
          </w:tcPr>
          <w:p w14:paraId="1BEEB6E1">
            <w:pPr>
              <w:rPr>
                <w:rFonts w:hint="eastAsia" w:ascii="宋体" w:hAnsi="宋体" w:eastAsia="宋体"/>
                <w:color w:val="auto"/>
                <w:sz w:val="28"/>
                <w:szCs w:val="28"/>
                <w:highlight w:val="none"/>
              </w:rPr>
            </w:pPr>
          </w:p>
        </w:tc>
        <w:tc>
          <w:tcPr>
            <w:tcW w:w="1435" w:type="dxa"/>
            <w:noWrap w:val="0"/>
            <w:vAlign w:val="top"/>
          </w:tcPr>
          <w:p w14:paraId="685F8F90">
            <w:pPr>
              <w:rPr>
                <w:rFonts w:hint="eastAsia" w:ascii="宋体" w:hAnsi="宋体" w:eastAsia="宋体"/>
                <w:color w:val="auto"/>
                <w:sz w:val="28"/>
                <w:szCs w:val="28"/>
                <w:highlight w:val="none"/>
              </w:rPr>
            </w:pPr>
          </w:p>
        </w:tc>
      </w:tr>
      <w:tr w14:paraId="3184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1C7E90CF">
            <w:pPr>
              <w:rPr>
                <w:rFonts w:hint="eastAsia" w:ascii="宋体" w:hAnsi="宋体" w:eastAsia="宋体"/>
                <w:color w:val="auto"/>
                <w:sz w:val="28"/>
                <w:szCs w:val="28"/>
                <w:highlight w:val="none"/>
              </w:rPr>
            </w:pPr>
          </w:p>
        </w:tc>
        <w:tc>
          <w:tcPr>
            <w:tcW w:w="1523" w:type="dxa"/>
            <w:noWrap w:val="0"/>
            <w:vAlign w:val="top"/>
          </w:tcPr>
          <w:p w14:paraId="1DD34599">
            <w:pPr>
              <w:rPr>
                <w:rFonts w:hint="eastAsia" w:ascii="宋体" w:hAnsi="宋体" w:eastAsia="宋体"/>
                <w:color w:val="auto"/>
                <w:sz w:val="28"/>
                <w:szCs w:val="28"/>
                <w:highlight w:val="none"/>
              </w:rPr>
            </w:pPr>
          </w:p>
        </w:tc>
        <w:tc>
          <w:tcPr>
            <w:tcW w:w="1634" w:type="dxa"/>
            <w:noWrap w:val="0"/>
            <w:vAlign w:val="top"/>
          </w:tcPr>
          <w:p w14:paraId="74B57015">
            <w:pPr>
              <w:rPr>
                <w:rFonts w:hint="eastAsia" w:ascii="宋体" w:hAnsi="宋体" w:eastAsia="宋体"/>
                <w:color w:val="auto"/>
                <w:sz w:val="28"/>
                <w:szCs w:val="28"/>
                <w:highlight w:val="none"/>
              </w:rPr>
            </w:pPr>
          </w:p>
        </w:tc>
        <w:tc>
          <w:tcPr>
            <w:tcW w:w="858" w:type="dxa"/>
            <w:noWrap w:val="0"/>
            <w:vAlign w:val="top"/>
          </w:tcPr>
          <w:p w14:paraId="6CF76BEA">
            <w:pPr>
              <w:rPr>
                <w:rFonts w:hint="eastAsia" w:ascii="宋体" w:hAnsi="宋体" w:eastAsia="宋体"/>
                <w:color w:val="auto"/>
                <w:sz w:val="28"/>
                <w:szCs w:val="28"/>
                <w:highlight w:val="none"/>
              </w:rPr>
            </w:pPr>
          </w:p>
        </w:tc>
        <w:tc>
          <w:tcPr>
            <w:tcW w:w="1580" w:type="dxa"/>
            <w:noWrap w:val="0"/>
            <w:vAlign w:val="top"/>
          </w:tcPr>
          <w:p w14:paraId="482AC6F2">
            <w:pPr>
              <w:rPr>
                <w:rFonts w:hint="eastAsia" w:ascii="宋体" w:hAnsi="宋体" w:eastAsia="宋体"/>
                <w:color w:val="auto"/>
                <w:sz w:val="28"/>
                <w:szCs w:val="28"/>
                <w:highlight w:val="none"/>
              </w:rPr>
            </w:pPr>
          </w:p>
        </w:tc>
        <w:tc>
          <w:tcPr>
            <w:tcW w:w="1580" w:type="dxa"/>
            <w:noWrap w:val="0"/>
            <w:vAlign w:val="top"/>
          </w:tcPr>
          <w:p w14:paraId="31F287F4">
            <w:pPr>
              <w:rPr>
                <w:rFonts w:hint="eastAsia" w:ascii="宋体" w:hAnsi="宋体" w:eastAsia="宋体"/>
                <w:color w:val="auto"/>
                <w:sz w:val="28"/>
                <w:szCs w:val="28"/>
                <w:highlight w:val="none"/>
              </w:rPr>
            </w:pPr>
          </w:p>
        </w:tc>
        <w:tc>
          <w:tcPr>
            <w:tcW w:w="1435" w:type="dxa"/>
            <w:noWrap w:val="0"/>
            <w:vAlign w:val="top"/>
          </w:tcPr>
          <w:p w14:paraId="404C5746">
            <w:pPr>
              <w:rPr>
                <w:rFonts w:hint="eastAsia" w:ascii="宋体" w:hAnsi="宋体" w:eastAsia="宋体"/>
                <w:color w:val="auto"/>
                <w:sz w:val="28"/>
                <w:szCs w:val="28"/>
                <w:highlight w:val="none"/>
              </w:rPr>
            </w:pPr>
          </w:p>
        </w:tc>
      </w:tr>
      <w:tr w14:paraId="7F1D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5C99F519">
            <w:pPr>
              <w:rPr>
                <w:rFonts w:hint="eastAsia" w:ascii="宋体" w:hAnsi="宋体" w:eastAsia="宋体"/>
                <w:color w:val="auto"/>
                <w:sz w:val="28"/>
                <w:szCs w:val="28"/>
                <w:highlight w:val="none"/>
              </w:rPr>
            </w:pPr>
          </w:p>
        </w:tc>
        <w:tc>
          <w:tcPr>
            <w:tcW w:w="1523" w:type="dxa"/>
            <w:noWrap w:val="0"/>
            <w:vAlign w:val="top"/>
          </w:tcPr>
          <w:p w14:paraId="79E880CB">
            <w:pPr>
              <w:rPr>
                <w:rFonts w:hint="eastAsia" w:ascii="宋体" w:hAnsi="宋体" w:eastAsia="宋体"/>
                <w:color w:val="auto"/>
                <w:sz w:val="28"/>
                <w:szCs w:val="28"/>
                <w:highlight w:val="none"/>
              </w:rPr>
            </w:pPr>
          </w:p>
        </w:tc>
        <w:tc>
          <w:tcPr>
            <w:tcW w:w="1634" w:type="dxa"/>
            <w:noWrap w:val="0"/>
            <w:vAlign w:val="top"/>
          </w:tcPr>
          <w:p w14:paraId="7B646483">
            <w:pPr>
              <w:rPr>
                <w:rFonts w:hint="eastAsia" w:ascii="宋体" w:hAnsi="宋体" w:eastAsia="宋体"/>
                <w:color w:val="auto"/>
                <w:sz w:val="28"/>
                <w:szCs w:val="28"/>
                <w:highlight w:val="none"/>
              </w:rPr>
            </w:pPr>
          </w:p>
        </w:tc>
        <w:tc>
          <w:tcPr>
            <w:tcW w:w="858" w:type="dxa"/>
            <w:noWrap w:val="0"/>
            <w:vAlign w:val="top"/>
          </w:tcPr>
          <w:p w14:paraId="445B753A">
            <w:pPr>
              <w:rPr>
                <w:rFonts w:hint="eastAsia" w:ascii="宋体" w:hAnsi="宋体" w:eastAsia="宋体"/>
                <w:color w:val="auto"/>
                <w:sz w:val="28"/>
                <w:szCs w:val="28"/>
                <w:highlight w:val="none"/>
              </w:rPr>
            </w:pPr>
          </w:p>
        </w:tc>
        <w:tc>
          <w:tcPr>
            <w:tcW w:w="1580" w:type="dxa"/>
            <w:noWrap w:val="0"/>
            <w:vAlign w:val="top"/>
          </w:tcPr>
          <w:p w14:paraId="0FE2255D">
            <w:pPr>
              <w:rPr>
                <w:rFonts w:hint="eastAsia" w:ascii="宋体" w:hAnsi="宋体" w:eastAsia="宋体"/>
                <w:color w:val="auto"/>
                <w:sz w:val="28"/>
                <w:szCs w:val="28"/>
                <w:highlight w:val="none"/>
              </w:rPr>
            </w:pPr>
          </w:p>
        </w:tc>
        <w:tc>
          <w:tcPr>
            <w:tcW w:w="1580" w:type="dxa"/>
            <w:noWrap w:val="0"/>
            <w:vAlign w:val="top"/>
          </w:tcPr>
          <w:p w14:paraId="28AAE36F">
            <w:pPr>
              <w:rPr>
                <w:rFonts w:hint="eastAsia" w:ascii="宋体" w:hAnsi="宋体" w:eastAsia="宋体"/>
                <w:color w:val="auto"/>
                <w:sz w:val="28"/>
                <w:szCs w:val="28"/>
                <w:highlight w:val="none"/>
              </w:rPr>
            </w:pPr>
          </w:p>
        </w:tc>
        <w:tc>
          <w:tcPr>
            <w:tcW w:w="1435" w:type="dxa"/>
            <w:noWrap w:val="0"/>
            <w:vAlign w:val="top"/>
          </w:tcPr>
          <w:p w14:paraId="6EB7F737">
            <w:pPr>
              <w:rPr>
                <w:rFonts w:hint="eastAsia" w:ascii="宋体" w:hAnsi="宋体" w:eastAsia="宋体"/>
                <w:color w:val="auto"/>
                <w:sz w:val="28"/>
                <w:szCs w:val="28"/>
                <w:highlight w:val="none"/>
              </w:rPr>
            </w:pPr>
          </w:p>
        </w:tc>
      </w:tr>
      <w:tr w14:paraId="5734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4F98163A">
            <w:pPr>
              <w:rPr>
                <w:rFonts w:hint="eastAsia" w:ascii="宋体" w:hAnsi="宋体" w:eastAsia="宋体"/>
                <w:color w:val="auto"/>
                <w:sz w:val="28"/>
                <w:szCs w:val="28"/>
                <w:highlight w:val="none"/>
              </w:rPr>
            </w:pPr>
          </w:p>
        </w:tc>
        <w:tc>
          <w:tcPr>
            <w:tcW w:w="1523" w:type="dxa"/>
            <w:noWrap w:val="0"/>
            <w:vAlign w:val="top"/>
          </w:tcPr>
          <w:p w14:paraId="02FD3556">
            <w:pPr>
              <w:rPr>
                <w:rFonts w:hint="eastAsia" w:ascii="宋体" w:hAnsi="宋体" w:eastAsia="宋体"/>
                <w:color w:val="auto"/>
                <w:sz w:val="28"/>
                <w:szCs w:val="28"/>
                <w:highlight w:val="none"/>
              </w:rPr>
            </w:pPr>
          </w:p>
        </w:tc>
        <w:tc>
          <w:tcPr>
            <w:tcW w:w="1634" w:type="dxa"/>
            <w:noWrap w:val="0"/>
            <w:vAlign w:val="top"/>
          </w:tcPr>
          <w:p w14:paraId="26DD3609">
            <w:pPr>
              <w:rPr>
                <w:rFonts w:hint="eastAsia" w:ascii="宋体" w:hAnsi="宋体" w:eastAsia="宋体"/>
                <w:color w:val="auto"/>
                <w:sz w:val="28"/>
                <w:szCs w:val="28"/>
                <w:highlight w:val="none"/>
              </w:rPr>
            </w:pPr>
          </w:p>
        </w:tc>
        <w:tc>
          <w:tcPr>
            <w:tcW w:w="858" w:type="dxa"/>
            <w:noWrap w:val="0"/>
            <w:vAlign w:val="top"/>
          </w:tcPr>
          <w:p w14:paraId="449382F2">
            <w:pPr>
              <w:rPr>
                <w:rFonts w:hint="eastAsia" w:ascii="宋体" w:hAnsi="宋体" w:eastAsia="宋体"/>
                <w:color w:val="auto"/>
                <w:sz w:val="28"/>
                <w:szCs w:val="28"/>
                <w:highlight w:val="none"/>
              </w:rPr>
            </w:pPr>
          </w:p>
        </w:tc>
        <w:tc>
          <w:tcPr>
            <w:tcW w:w="1580" w:type="dxa"/>
            <w:noWrap w:val="0"/>
            <w:vAlign w:val="top"/>
          </w:tcPr>
          <w:p w14:paraId="66BAB583">
            <w:pPr>
              <w:rPr>
                <w:rFonts w:hint="eastAsia" w:ascii="宋体" w:hAnsi="宋体" w:eastAsia="宋体"/>
                <w:color w:val="auto"/>
                <w:sz w:val="28"/>
                <w:szCs w:val="28"/>
                <w:highlight w:val="none"/>
              </w:rPr>
            </w:pPr>
          </w:p>
        </w:tc>
        <w:tc>
          <w:tcPr>
            <w:tcW w:w="1580" w:type="dxa"/>
            <w:noWrap w:val="0"/>
            <w:vAlign w:val="top"/>
          </w:tcPr>
          <w:p w14:paraId="258124F6">
            <w:pPr>
              <w:rPr>
                <w:rFonts w:hint="eastAsia" w:ascii="宋体" w:hAnsi="宋体" w:eastAsia="宋体"/>
                <w:color w:val="auto"/>
                <w:sz w:val="28"/>
                <w:szCs w:val="28"/>
                <w:highlight w:val="none"/>
              </w:rPr>
            </w:pPr>
          </w:p>
        </w:tc>
        <w:tc>
          <w:tcPr>
            <w:tcW w:w="1435" w:type="dxa"/>
            <w:noWrap w:val="0"/>
            <w:vAlign w:val="top"/>
          </w:tcPr>
          <w:p w14:paraId="3C94FFA6">
            <w:pPr>
              <w:rPr>
                <w:rFonts w:hint="eastAsia" w:ascii="宋体" w:hAnsi="宋体" w:eastAsia="宋体"/>
                <w:color w:val="auto"/>
                <w:sz w:val="28"/>
                <w:szCs w:val="28"/>
                <w:highlight w:val="none"/>
              </w:rPr>
            </w:pPr>
          </w:p>
        </w:tc>
      </w:tr>
      <w:tr w14:paraId="5EC1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49A6C0A5">
            <w:pPr>
              <w:rPr>
                <w:rFonts w:hint="eastAsia" w:ascii="宋体" w:hAnsi="宋体" w:eastAsia="宋体"/>
                <w:color w:val="auto"/>
                <w:sz w:val="28"/>
                <w:szCs w:val="28"/>
                <w:highlight w:val="none"/>
              </w:rPr>
            </w:pPr>
          </w:p>
        </w:tc>
        <w:tc>
          <w:tcPr>
            <w:tcW w:w="1523" w:type="dxa"/>
            <w:noWrap w:val="0"/>
            <w:vAlign w:val="top"/>
          </w:tcPr>
          <w:p w14:paraId="497AF065">
            <w:pPr>
              <w:rPr>
                <w:rFonts w:hint="eastAsia" w:ascii="宋体" w:hAnsi="宋体" w:eastAsia="宋体"/>
                <w:color w:val="auto"/>
                <w:sz w:val="28"/>
                <w:szCs w:val="28"/>
                <w:highlight w:val="none"/>
              </w:rPr>
            </w:pPr>
          </w:p>
        </w:tc>
        <w:tc>
          <w:tcPr>
            <w:tcW w:w="1634" w:type="dxa"/>
            <w:noWrap w:val="0"/>
            <w:vAlign w:val="top"/>
          </w:tcPr>
          <w:p w14:paraId="60DA6062">
            <w:pPr>
              <w:rPr>
                <w:rFonts w:hint="eastAsia" w:ascii="宋体" w:hAnsi="宋体" w:eastAsia="宋体"/>
                <w:color w:val="auto"/>
                <w:sz w:val="28"/>
                <w:szCs w:val="28"/>
                <w:highlight w:val="none"/>
              </w:rPr>
            </w:pPr>
          </w:p>
        </w:tc>
        <w:tc>
          <w:tcPr>
            <w:tcW w:w="858" w:type="dxa"/>
            <w:noWrap w:val="0"/>
            <w:vAlign w:val="top"/>
          </w:tcPr>
          <w:p w14:paraId="4F05DC2B">
            <w:pPr>
              <w:rPr>
                <w:rFonts w:hint="eastAsia" w:ascii="宋体" w:hAnsi="宋体" w:eastAsia="宋体"/>
                <w:color w:val="auto"/>
                <w:sz w:val="28"/>
                <w:szCs w:val="28"/>
                <w:highlight w:val="none"/>
              </w:rPr>
            </w:pPr>
          </w:p>
        </w:tc>
        <w:tc>
          <w:tcPr>
            <w:tcW w:w="1580" w:type="dxa"/>
            <w:noWrap w:val="0"/>
            <w:vAlign w:val="top"/>
          </w:tcPr>
          <w:p w14:paraId="13D2C66F">
            <w:pPr>
              <w:rPr>
                <w:rFonts w:hint="eastAsia" w:ascii="宋体" w:hAnsi="宋体" w:eastAsia="宋体"/>
                <w:color w:val="auto"/>
                <w:sz w:val="28"/>
                <w:szCs w:val="28"/>
                <w:highlight w:val="none"/>
              </w:rPr>
            </w:pPr>
          </w:p>
        </w:tc>
        <w:tc>
          <w:tcPr>
            <w:tcW w:w="1580" w:type="dxa"/>
            <w:noWrap w:val="0"/>
            <w:vAlign w:val="top"/>
          </w:tcPr>
          <w:p w14:paraId="0488D211">
            <w:pPr>
              <w:rPr>
                <w:rFonts w:hint="eastAsia" w:ascii="宋体" w:hAnsi="宋体" w:eastAsia="宋体"/>
                <w:color w:val="auto"/>
                <w:sz w:val="28"/>
                <w:szCs w:val="28"/>
                <w:highlight w:val="none"/>
              </w:rPr>
            </w:pPr>
          </w:p>
        </w:tc>
        <w:tc>
          <w:tcPr>
            <w:tcW w:w="1435" w:type="dxa"/>
            <w:noWrap w:val="0"/>
            <w:vAlign w:val="top"/>
          </w:tcPr>
          <w:p w14:paraId="60A6BB73">
            <w:pPr>
              <w:rPr>
                <w:rFonts w:hint="eastAsia" w:ascii="宋体" w:hAnsi="宋体" w:eastAsia="宋体"/>
                <w:color w:val="auto"/>
                <w:sz w:val="28"/>
                <w:szCs w:val="28"/>
                <w:highlight w:val="none"/>
              </w:rPr>
            </w:pPr>
          </w:p>
        </w:tc>
      </w:tr>
      <w:tr w14:paraId="3ED1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66DE79D2">
            <w:pPr>
              <w:rPr>
                <w:rFonts w:hint="eastAsia" w:ascii="宋体" w:hAnsi="宋体" w:eastAsia="宋体"/>
                <w:color w:val="auto"/>
                <w:sz w:val="28"/>
                <w:szCs w:val="28"/>
                <w:highlight w:val="none"/>
              </w:rPr>
            </w:pPr>
          </w:p>
        </w:tc>
        <w:tc>
          <w:tcPr>
            <w:tcW w:w="1523" w:type="dxa"/>
            <w:noWrap w:val="0"/>
            <w:vAlign w:val="top"/>
          </w:tcPr>
          <w:p w14:paraId="4ADF7A9C">
            <w:pPr>
              <w:rPr>
                <w:rFonts w:hint="eastAsia" w:ascii="宋体" w:hAnsi="宋体" w:eastAsia="宋体"/>
                <w:color w:val="auto"/>
                <w:sz w:val="28"/>
                <w:szCs w:val="28"/>
                <w:highlight w:val="none"/>
              </w:rPr>
            </w:pPr>
          </w:p>
        </w:tc>
        <w:tc>
          <w:tcPr>
            <w:tcW w:w="1634" w:type="dxa"/>
            <w:noWrap w:val="0"/>
            <w:vAlign w:val="top"/>
          </w:tcPr>
          <w:p w14:paraId="12C08E04">
            <w:pPr>
              <w:rPr>
                <w:rFonts w:hint="eastAsia" w:ascii="宋体" w:hAnsi="宋体" w:eastAsia="宋体"/>
                <w:color w:val="auto"/>
                <w:sz w:val="28"/>
                <w:szCs w:val="28"/>
                <w:highlight w:val="none"/>
              </w:rPr>
            </w:pPr>
          </w:p>
        </w:tc>
        <w:tc>
          <w:tcPr>
            <w:tcW w:w="858" w:type="dxa"/>
            <w:noWrap w:val="0"/>
            <w:vAlign w:val="top"/>
          </w:tcPr>
          <w:p w14:paraId="4DC5F72E">
            <w:pPr>
              <w:rPr>
                <w:rFonts w:hint="eastAsia" w:ascii="宋体" w:hAnsi="宋体" w:eastAsia="宋体"/>
                <w:color w:val="auto"/>
                <w:sz w:val="28"/>
                <w:szCs w:val="28"/>
                <w:highlight w:val="none"/>
              </w:rPr>
            </w:pPr>
          </w:p>
        </w:tc>
        <w:tc>
          <w:tcPr>
            <w:tcW w:w="1580" w:type="dxa"/>
            <w:noWrap w:val="0"/>
            <w:vAlign w:val="top"/>
          </w:tcPr>
          <w:p w14:paraId="5473B0B7">
            <w:pPr>
              <w:rPr>
                <w:rFonts w:hint="eastAsia" w:ascii="宋体" w:hAnsi="宋体" w:eastAsia="宋体"/>
                <w:color w:val="auto"/>
                <w:sz w:val="28"/>
                <w:szCs w:val="28"/>
                <w:highlight w:val="none"/>
              </w:rPr>
            </w:pPr>
          </w:p>
        </w:tc>
        <w:tc>
          <w:tcPr>
            <w:tcW w:w="1580" w:type="dxa"/>
            <w:noWrap w:val="0"/>
            <w:vAlign w:val="top"/>
          </w:tcPr>
          <w:p w14:paraId="28CE6968">
            <w:pPr>
              <w:rPr>
                <w:rFonts w:hint="eastAsia" w:ascii="宋体" w:hAnsi="宋体" w:eastAsia="宋体"/>
                <w:color w:val="auto"/>
                <w:sz w:val="28"/>
                <w:szCs w:val="28"/>
                <w:highlight w:val="none"/>
              </w:rPr>
            </w:pPr>
          </w:p>
        </w:tc>
        <w:tc>
          <w:tcPr>
            <w:tcW w:w="1435" w:type="dxa"/>
            <w:noWrap w:val="0"/>
            <w:vAlign w:val="top"/>
          </w:tcPr>
          <w:p w14:paraId="425EE107">
            <w:pPr>
              <w:rPr>
                <w:rFonts w:hint="eastAsia" w:ascii="宋体" w:hAnsi="宋体" w:eastAsia="宋体"/>
                <w:color w:val="auto"/>
                <w:sz w:val="28"/>
                <w:szCs w:val="28"/>
                <w:highlight w:val="none"/>
              </w:rPr>
            </w:pPr>
          </w:p>
        </w:tc>
      </w:tr>
      <w:tr w14:paraId="4E92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63B2D155">
            <w:pPr>
              <w:rPr>
                <w:rFonts w:hint="eastAsia" w:ascii="宋体" w:hAnsi="宋体" w:eastAsia="宋体"/>
                <w:color w:val="auto"/>
                <w:sz w:val="28"/>
                <w:szCs w:val="28"/>
                <w:highlight w:val="none"/>
              </w:rPr>
            </w:pPr>
          </w:p>
        </w:tc>
        <w:tc>
          <w:tcPr>
            <w:tcW w:w="1523" w:type="dxa"/>
            <w:noWrap w:val="0"/>
            <w:vAlign w:val="top"/>
          </w:tcPr>
          <w:p w14:paraId="26547CCA">
            <w:pPr>
              <w:rPr>
                <w:rFonts w:hint="eastAsia" w:ascii="宋体" w:hAnsi="宋体" w:eastAsia="宋体"/>
                <w:color w:val="auto"/>
                <w:sz w:val="28"/>
                <w:szCs w:val="28"/>
                <w:highlight w:val="none"/>
              </w:rPr>
            </w:pPr>
          </w:p>
        </w:tc>
        <w:tc>
          <w:tcPr>
            <w:tcW w:w="1634" w:type="dxa"/>
            <w:noWrap w:val="0"/>
            <w:vAlign w:val="top"/>
          </w:tcPr>
          <w:p w14:paraId="60DAF88C">
            <w:pPr>
              <w:rPr>
                <w:rFonts w:hint="eastAsia" w:ascii="宋体" w:hAnsi="宋体" w:eastAsia="宋体"/>
                <w:color w:val="auto"/>
                <w:sz w:val="28"/>
                <w:szCs w:val="28"/>
                <w:highlight w:val="none"/>
              </w:rPr>
            </w:pPr>
          </w:p>
        </w:tc>
        <w:tc>
          <w:tcPr>
            <w:tcW w:w="858" w:type="dxa"/>
            <w:noWrap w:val="0"/>
            <w:vAlign w:val="top"/>
          </w:tcPr>
          <w:p w14:paraId="77757E72">
            <w:pPr>
              <w:rPr>
                <w:rFonts w:hint="eastAsia" w:ascii="宋体" w:hAnsi="宋体" w:eastAsia="宋体"/>
                <w:color w:val="auto"/>
                <w:sz w:val="28"/>
                <w:szCs w:val="28"/>
                <w:highlight w:val="none"/>
              </w:rPr>
            </w:pPr>
          </w:p>
        </w:tc>
        <w:tc>
          <w:tcPr>
            <w:tcW w:w="1580" w:type="dxa"/>
            <w:noWrap w:val="0"/>
            <w:vAlign w:val="top"/>
          </w:tcPr>
          <w:p w14:paraId="5ED69E08">
            <w:pPr>
              <w:rPr>
                <w:rFonts w:hint="eastAsia" w:ascii="宋体" w:hAnsi="宋体" w:eastAsia="宋体"/>
                <w:color w:val="auto"/>
                <w:sz w:val="28"/>
                <w:szCs w:val="28"/>
                <w:highlight w:val="none"/>
              </w:rPr>
            </w:pPr>
          </w:p>
        </w:tc>
        <w:tc>
          <w:tcPr>
            <w:tcW w:w="1580" w:type="dxa"/>
            <w:noWrap w:val="0"/>
            <w:vAlign w:val="top"/>
          </w:tcPr>
          <w:p w14:paraId="45FD2B40">
            <w:pPr>
              <w:rPr>
                <w:rFonts w:hint="eastAsia" w:ascii="宋体" w:hAnsi="宋体" w:eastAsia="宋体"/>
                <w:color w:val="auto"/>
                <w:sz w:val="28"/>
                <w:szCs w:val="28"/>
                <w:highlight w:val="none"/>
              </w:rPr>
            </w:pPr>
          </w:p>
        </w:tc>
        <w:tc>
          <w:tcPr>
            <w:tcW w:w="1435" w:type="dxa"/>
            <w:noWrap w:val="0"/>
            <w:vAlign w:val="top"/>
          </w:tcPr>
          <w:p w14:paraId="6A761D5C">
            <w:pPr>
              <w:rPr>
                <w:rFonts w:hint="eastAsia" w:ascii="宋体" w:hAnsi="宋体" w:eastAsia="宋体"/>
                <w:color w:val="auto"/>
                <w:sz w:val="28"/>
                <w:szCs w:val="28"/>
                <w:highlight w:val="none"/>
              </w:rPr>
            </w:pPr>
          </w:p>
        </w:tc>
      </w:tr>
      <w:tr w14:paraId="2A77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1038E475">
            <w:pPr>
              <w:rPr>
                <w:rFonts w:hint="eastAsia" w:ascii="宋体" w:hAnsi="宋体" w:eastAsia="宋体"/>
                <w:color w:val="auto"/>
                <w:sz w:val="28"/>
                <w:szCs w:val="28"/>
                <w:highlight w:val="none"/>
              </w:rPr>
            </w:pPr>
          </w:p>
        </w:tc>
        <w:tc>
          <w:tcPr>
            <w:tcW w:w="1523" w:type="dxa"/>
            <w:noWrap w:val="0"/>
            <w:vAlign w:val="top"/>
          </w:tcPr>
          <w:p w14:paraId="399D0F25">
            <w:pPr>
              <w:rPr>
                <w:rFonts w:hint="eastAsia" w:ascii="宋体" w:hAnsi="宋体" w:eastAsia="宋体"/>
                <w:color w:val="auto"/>
                <w:sz w:val="28"/>
                <w:szCs w:val="28"/>
                <w:highlight w:val="none"/>
              </w:rPr>
            </w:pPr>
          </w:p>
        </w:tc>
        <w:tc>
          <w:tcPr>
            <w:tcW w:w="1634" w:type="dxa"/>
            <w:noWrap w:val="0"/>
            <w:vAlign w:val="top"/>
          </w:tcPr>
          <w:p w14:paraId="32301563">
            <w:pPr>
              <w:rPr>
                <w:rFonts w:hint="eastAsia" w:ascii="宋体" w:hAnsi="宋体" w:eastAsia="宋体"/>
                <w:color w:val="auto"/>
                <w:sz w:val="28"/>
                <w:szCs w:val="28"/>
                <w:highlight w:val="none"/>
              </w:rPr>
            </w:pPr>
          </w:p>
        </w:tc>
        <w:tc>
          <w:tcPr>
            <w:tcW w:w="858" w:type="dxa"/>
            <w:noWrap w:val="0"/>
            <w:vAlign w:val="top"/>
          </w:tcPr>
          <w:p w14:paraId="78780B44">
            <w:pPr>
              <w:rPr>
                <w:rFonts w:hint="eastAsia" w:ascii="宋体" w:hAnsi="宋体" w:eastAsia="宋体"/>
                <w:color w:val="auto"/>
                <w:sz w:val="28"/>
                <w:szCs w:val="28"/>
                <w:highlight w:val="none"/>
              </w:rPr>
            </w:pPr>
          </w:p>
        </w:tc>
        <w:tc>
          <w:tcPr>
            <w:tcW w:w="1580" w:type="dxa"/>
            <w:noWrap w:val="0"/>
            <w:vAlign w:val="top"/>
          </w:tcPr>
          <w:p w14:paraId="417CC193">
            <w:pPr>
              <w:rPr>
                <w:rFonts w:hint="eastAsia" w:ascii="宋体" w:hAnsi="宋体" w:eastAsia="宋体"/>
                <w:color w:val="auto"/>
                <w:sz w:val="28"/>
                <w:szCs w:val="28"/>
                <w:highlight w:val="none"/>
              </w:rPr>
            </w:pPr>
          </w:p>
        </w:tc>
        <w:tc>
          <w:tcPr>
            <w:tcW w:w="1580" w:type="dxa"/>
            <w:noWrap w:val="0"/>
            <w:vAlign w:val="top"/>
          </w:tcPr>
          <w:p w14:paraId="1F5567BB">
            <w:pPr>
              <w:rPr>
                <w:rFonts w:hint="eastAsia" w:ascii="宋体" w:hAnsi="宋体" w:eastAsia="宋体"/>
                <w:color w:val="auto"/>
                <w:sz w:val="28"/>
                <w:szCs w:val="28"/>
                <w:highlight w:val="none"/>
              </w:rPr>
            </w:pPr>
          </w:p>
        </w:tc>
        <w:tc>
          <w:tcPr>
            <w:tcW w:w="1435" w:type="dxa"/>
            <w:noWrap w:val="0"/>
            <w:vAlign w:val="top"/>
          </w:tcPr>
          <w:p w14:paraId="79B57980">
            <w:pPr>
              <w:rPr>
                <w:rFonts w:hint="eastAsia" w:ascii="宋体" w:hAnsi="宋体" w:eastAsia="宋体"/>
                <w:color w:val="auto"/>
                <w:sz w:val="28"/>
                <w:szCs w:val="28"/>
                <w:highlight w:val="none"/>
              </w:rPr>
            </w:pPr>
          </w:p>
        </w:tc>
      </w:tr>
      <w:tr w14:paraId="3EB1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6DFA323C">
            <w:pPr>
              <w:rPr>
                <w:rFonts w:hint="eastAsia" w:ascii="宋体" w:hAnsi="宋体" w:eastAsia="宋体"/>
                <w:color w:val="auto"/>
                <w:sz w:val="28"/>
                <w:szCs w:val="28"/>
                <w:highlight w:val="none"/>
              </w:rPr>
            </w:pPr>
          </w:p>
        </w:tc>
        <w:tc>
          <w:tcPr>
            <w:tcW w:w="1523" w:type="dxa"/>
            <w:noWrap w:val="0"/>
            <w:vAlign w:val="top"/>
          </w:tcPr>
          <w:p w14:paraId="132EDAD0">
            <w:pPr>
              <w:rPr>
                <w:rFonts w:hint="eastAsia" w:ascii="宋体" w:hAnsi="宋体" w:eastAsia="宋体"/>
                <w:color w:val="auto"/>
                <w:sz w:val="28"/>
                <w:szCs w:val="28"/>
                <w:highlight w:val="none"/>
              </w:rPr>
            </w:pPr>
          </w:p>
        </w:tc>
        <w:tc>
          <w:tcPr>
            <w:tcW w:w="1634" w:type="dxa"/>
            <w:noWrap w:val="0"/>
            <w:vAlign w:val="top"/>
          </w:tcPr>
          <w:p w14:paraId="75D10244">
            <w:pPr>
              <w:rPr>
                <w:rFonts w:hint="eastAsia" w:ascii="宋体" w:hAnsi="宋体" w:eastAsia="宋体"/>
                <w:color w:val="auto"/>
                <w:sz w:val="28"/>
                <w:szCs w:val="28"/>
                <w:highlight w:val="none"/>
              </w:rPr>
            </w:pPr>
          </w:p>
        </w:tc>
        <w:tc>
          <w:tcPr>
            <w:tcW w:w="858" w:type="dxa"/>
            <w:noWrap w:val="0"/>
            <w:vAlign w:val="top"/>
          </w:tcPr>
          <w:p w14:paraId="29415BBC">
            <w:pPr>
              <w:rPr>
                <w:rFonts w:hint="eastAsia" w:ascii="宋体" w:hAnsi="宋体" w:eastAsia="宋体"/>
                <w:color w:val="auto"/>
                <w:sz w:val="28"/>
                <w:szCs w:val="28"/>
                <w:highlight w:val="none"/>
              </w:rPr>
            </w:pPr>
          </w:p>
        </w:tc>
        <w:tc>
          <w:tcPr>
            <w:tcW w:w="1580" w:type="dxa"/>
            <w:noWrap w:val="0"/>
            <w:vAlign w:val="top"/>
          </w:tcPr>
          <w:p w14:paraId="030FA868">
            <w:pPr>
              <w:rPr>
                <w:rFonts w:hint="eastAsia" w:ascii="宋体" w:hAnsi="宋体" w:eastAsia="宋体"/>
                <w:color w:val="auto"/>
                <w:sz w:val="28"/>
                <w:szCs w:val="28"/>
                <w:highlight w:val="none"/>
              </w:rPr>
            </w:pPr>
          </w:p>
        </w:tc>
        <w:tc>
          <w:tcPr>
            <w:tcW w:w="1580" w:type="dxa"/>
            <w:noWrap w:val="0"/>
            <w:vAlign w:val="top"/>
          </w:tcPr>
          <w:p w14:paraId="30F36981">
            <w:pPr>
              <w:rPr>
                <w:rFonts w:hint="eastAsia" w:ascii="宋体" w:hAnsi="宋体" w:eastAsia="宋体"/>
                <w:color w:val="auto"/>
                <w:sz w:val="28"/>
                <w:szCs w:val="28"/>
                <w:highlight w:val="none"/>
              </w:rPr>
            </w:pPr>
          </w:p>
        </w:tc>
        <w:tc>
          <w:tcPr>
            <w:tcW w:w="1435" w:type="dxa"/>
            <w:noWrap w:val="0"/>
            <w:vAlign w:val="top"/>
          </w:tcPr>
          <w:p w14:paraId="57E1C24D">
            <w:pPr>
              <w:rPr>
                <w:rFonts w:hint="eastAsia" w:ascii="宋体" w:hAnsi="宋体" w:eastAsia="宋体"/>
                <w:color w:val="auto"/>
                <w:sz w:val="28"/>
                <w:szCs w:val="28"/>
                <w:highlight w:val="none"/>
              </w:rPr>
            </w:pPr>
          </w:p>
        </w:tc>
      </w:tr>
      <w:tr w14:paraId="6AAC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4EA26571">
            <w:pPr>
              <w:rPr>
                <w:rFonts w:hint="eastAsia" w:ascii="宋体" w:hAnsi="宋体" w:eastAsia="宋体"/>
                <w:color w:val="auto"/>
                <w:sz w:val="28"/>
                <w:szCs w:val="28"/>
                <w:highlight w:val="none"/>
              </w:rPr>
            </w:pPr>
          </w:p>
        </w:tc>
        <w:tc>
          <w:tcPr>
            <w:tcW w:w="1523" w:type="dxa"/>
            <w:noWrap w:val="0"/>
            <w:vAlign w:val="top"/>
          </w:tcPr>
          <w:p w14:paraId="2BCBB6A2">
            <w:pPr>
              <w:rPr>
                <w:rFonts w:hint="eastAsia" w:ascii="宋体" w:hAnsi="宋体" w:eastAsia="宋体"/>
                <w:color w:val="auto"/>
                <w:sz w:val="28"/>
                <w:szCs w:val="28"/>
                <w:highlight w:val="none"/>
              </w:rPr>
            </w:pPr>
          </w:p>
        </w:tc>
        <w:tc>
          <w:tcPr>
            <w:tcW w:w="1634" w:type="dxa"/>
            <w:noWrap w:val="0"/>
            <w:vAlign w:val="top"/>
          </w:tcPr>
          <w:p w14:paraId="6608C91B">
            <w:pPr>
              <w:rPr>
                <w:rFonts w:hint="eastAsia" w:ascii="宋体" w:hAnsi="宋体" w:eastAsia="宋体"/>
                <w:color w:val="auto"/>
                <w:sz w:val="28"/>
                <w:szCs w:val="28"/>
                <w:highlight w:val="none"/>
              </w:rPr>
            </w:pPr>
          </w:p>
        </w:tc>
        <w:tc>
          <w:tcPr>
            <w:tcW w:w="858" w:type="dxa"/>
            <w:noWrap w:val="0"/>
            <w:vAlign w:val="top"/>
          </w:tcPr>
          <w:p w14:paraId="503D1086">
            <w:pPr>
              <w:rPr>
                <w:rFonts w:hint="eastAsia" w:ascii="宋体" w:hAnsi="宋体" w:eastAsia="宋体"/>
                <w:color w:val="auto"/>
                <w:sz w:val="28"/>
                <w:szCs w:val="28"/>
                <w:highlight w:val="none"/>
              </w:rPr>
            </w:pPr>
          </w:p>
        </w:tc>
        <w:tc>
          <w:tcPr>
            <w:tcW w:w="1580" w:type="dxa"/>
            <w:noWrap w:val="0"/>
            <w:vAlign w:val="top"/>
          </w:tcPr>
          <w:p w14:paraId="2A2C6010">
            <w:pPr>
              <w:rPr>
                <w:rFonts w:hint="eastAsia" w:ascii="宋体" w:hAnsi="宋体" w:eastAsia="宋体"/>
                <w:color w:val="auto"/>
                <w:sz w:val="28"/>
                <w:szCs w:val="28"/>
                <w:highlight w:val="none"/>
              </w:rPr>
            </w:pPr>
          </w:p>
        </w:tc>
        <w:tc>
          <w:tcPr>
            <w:tcW w:w="1580" w:type="dxa"/>
            <w:noWrap w:val="0"/>
            <w:vAlign w:val="top"/>
          </w:tcPr>
          <w:p w14:paraId="5AAB326E">
            <w:pPr>
              <w:rPr>
                <w:rFonts w:hint="eastAsia" w:ascii="宋体" w:hAnsi="宋体" w:eastAsia="宋体"/>
                <w:color w:val="auto"/>
                <w:sz w:val="28"/>
                <w:szCs w:val="28"/>
                <w:highlight w:val="none"/>
              </w:rPr>
            </w:pPr>
          </w:p>
        </w:tc>
        <w:tc>
          <w:tcPr>
            <w:tcW w:w="1435" w:type="dxa"/>
            <w:noWrap w:val="0"/>
            <w:vAlign w:val="top"/>
          </w:tcPr>
          <w:p w14:paraId="043B762B">
            <w:pPr>
              <w:rPr>
                <w:rFonts w:hint="eastAsia" w:ascii="宋体" w:hAnsi="宋体" w:eastAsia="宋体"/>
                <w:color w:val="auto"/>
                <w:sz w:val="28"/>
                <w:szCs w:val="28"/>
                <w:highlight w:val="none"/>
              </w:rPr>
            </w:pPr>
          </w:p>
        </w:tc>
      </w:tr>
      <w:tr w14:paraId="35D7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trPr>
        <w:tc>
          <w:tcPr>
            <w:tcW w:w="969" w:type="dxa"/>
            <w:noWrap w:val="0"/>
            <w:vAlign w:val="top"/>
          </w:tcPr>
          <w:p w14:paraId="36C1536B">
            <w:pPr>
              <w:rPr>
                <w:rFonts w:hint="eastAsia" w:ascii="宋体" w:hAnsi="宋体" w:eastAsia="宋体"/>
                <w:color w:val="auto"/>
                <w:sz w:val="28"/>
                <w:szCs w:val="28"/>
                <w:highlight w:val="none"/>
              </w:rPr>
            </w:pPr>
          </w:p>
        </w:tc>
        <w:tc>
          <w:tcPr>
            <w:tcW w:w="1523" w:type="dxa"/>
            <w:noWrap w:val="0"/>
            <w:vAlign w:val="top"/>
          </w:tcPr>
          <w:p w14:paraId="15A05D4F">
            <w:pPr>
              <w:rPr>
                <w:rFonts w:hint="eastAsia" w:ascii="宋体" w:hAnsi="宋体" w:eastAsia="宋体"/>
                <w:color w:val="auto"/>
                <w:sz w:val="28"/>
                <w:szCs w:val="28"/>
                <w:highlight w:val="none"/>
              </w:rPr>
            </w:pPr>
          </w:p>
        </w:tc>
        <w:tc>
          <w:tcPr>
            <w:tcW w:w="1634" w:type="dxa"/>
            <w:noWrap w:val="0"/>
            <w:vAlign w:val="top"/>
          </w:tcPr>
          <w:p w14:paraId="37F653FF">
            <w:pPr>
              <w:rPr>
                <w:rFonts w:hint="eastAsia" w:ascii="宋体" w:hAnsi="宋体" w:eastAsia="宋体"/>
                <w:color w:val="auto"/>
                <w:sz w:val="28"/>
                <w:szCs w:val="28"/>
                <w:highlight w:val="none"/>
              </w:rPr>
            </w:pPr>
          </w:p>
        </w:tc>
        <w:tc>
          <w:tcPr>
            <w:tcW w:w="858" w:type="dxa"/>
            <w:noWrap w:val="0"/>
            <w:vAlign w:val="top"/>
          </w:tcPr>
          <w:p w14:paraId="03A03688">
            <w:pPr>
              <w:rPr>
                <w:rFonts w:hint="eastAsia" w:ascii="宋体" w:hAnsi="宋体" w:eastAsia="宋体"/>
                <w:color w:val="auto"/>
                <w:sz w:val="28"/>
                <w:szCs w:val="28"/>
                <w:highlight w:val="none"/>
              </w:rPr>
            </w:pPr>
          </w:p>
        </w:tc>
        <w:tc>
          <w:tcPr>
            <w:tcW w:w="1580" w:type="dxa"/>
            <w:noWrap w:val="0"/>
            <w:vAlign w:val="top"/>
          </w:tcPr>
          <w:p w14:paraId="6A517B2A">
            <w:pPr>
              <w:rPr>
                <w:rFonts w:hint="eastAsia" w:ascii="宋体" w:hAnsi="宋体" w:eastAsia="宋体"/>
                <w:color w:val="auto"/>
                <w:sz w:val="28"/>
                <w:szCs w:val="28"/>
                <w:highlight w:val="none"/>
              </w:rPr>
            </w:pPr>
          </w:p>
        </w:tc>
        <w:tc>
          <w:tcPr>
            <w:tcW w:w="1580" w:type="dxa"/>
            <w:noWrap w:val="0"/>
            <w:vAlign w:val="top"/>
          </w:tcPr>
          <w:p w14:paraId="2988BD13">
            <w:pPr>
              <w:rPr>
                <w:rFonts w:hint="eastAsia" w:ascii="宋体" w:hAnsi="宋体" w:eastAsia="宋体"/>
                <w:color w:val="auto"/>
                <w:sz w:val="28"/>
                <w:szCs w:val="28"/>
                <w:highlight w:val="none"/>
              </w:rPr>
            </w:pPr>
          </w:p>
        </w:tc>
        <w:tc>
          <w:tcPr>
            <w:tcW w:w="1435" w:type="dxa"/>
            <w:noWrap w:val="0"/>
            <w:vAlign w:val="top"/>
          </w:tcPr>
          <w:p w14:paraId="4517BE51">
            <w:pPr>
              <w:rPr>
                <w:rFonts w:hint="eastAsia" w:ascii="宋体" w:hAnsi="宋体" w:eastAsia="宋体"/>
                <w:color w:val="auto"/>
                <w:sz w:val="28"/>
                <w:szCs w:val="28"/>
                <w:highlight w:val="none"/>
              </w:rPr>
            </w:pPr>
          </w:p>
        </w:tc>
      </w:tr>
      <w:tr w14:paraId="4B58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6DB47E6E">
            <w:pPr>
              <w:rPr>
                <w:rFonts w:hint="eastAsia" w:ascii="宋体" w:hAnsi="宋体" w:eastAsia="宋体"/>
                <w:color w:val="auto"/>
                <w:sz w:val="28"/>
                <w:szCs w:val="28"/>
                <w:highlight w:val="none"/>
              </w:rPr>
            </w:pPr>
          </w:p>
        </w:tc>
        <w:tc>
          <w:tcPr>
            <w:tcW w:w="1523" w:type="dxa"/>
            <w:noWrap w:val="0"/>
            <w:vAlign w:val="top"/>
          </w:tcPr>
          <w:p w14:paraId="63E3ECB1">
            <w:pPr>
              <w:rPr>
                <w:rFonts w:hint="eastAsia" w:ascii="宋体" w:hAnsi="宋体" w:eastAsia="宋体"/>
                <w:color w:val="auto"/>
                <w:sz w:val="28"/>
                <w:szCs w:val="28"/>
                <w:highlight w:val="none"/>
              </w:rPr>
            </w:pPr>
          </w:p>
        </w:tc>
        <w:tc>
          <w:tcPr>
            <w:tcW w:w="1634" w:type="dxa"/>
            <w:noWrap w:val="0"/>
            <w:vAlign w:val="top"/>
          </w:tcPr>
          <w:p w14:paraId="58AC59F1">
            <w:pPr>
              <w:rPr>
                <w:rFonts w:hint="eastAsia" w:ascii="宋体" w:hAnsi="宋体" w:eastAsia="宋体"/>
                <w:color w:val="auto"/>
                <w:sz w:val="28"/>
                <w:szCs w:val="28"/>
                <w:highlight w:val="none"/>
              </w:rPr>
            </w:pPr>
          </w:p>
        </w:tc>
        <w:tc>
          <w:tcPr>
            <w:tcW w:w="858" w:type="dxa"/>
            <w:noWrap w:val="0"/>
            <w:vAlign w:val="top"/>
          </w:tcPr>
          <w:p w14:paraId="7CFE3A67">
            <w:pPr>
              <w:rPr>
                <w:rFonts w:hint="eastAsia" w:ascii="宋体" w:hAnsi="宋体" w:eastAsia="宋体"/>
                <w:color w:val="auto"/>
                <w:sz w:val="28"/>
                <w:szCs w:val="28"/>
                <w:highlight w:val="none"/>
              </w:rPr>
            </w:pPr>
          </w:p>
        </w:tc>
        <w:tc>
          <w:tcPr>
            <w:tcW w:w="1580" w:type="dxa"/>
            <w:noWrap w:val="0"/>
            <w:vAlign w:val="top"/>
          </w:tcPr>
          <w:p w14:paraId="7C6075D0">
            <w:pPr>
              <w:rPr>
                <w:rFonts w:hint="eastAsia" w:ascii="宋体" w:hAnsi="宋体" w:eastAsia="宋体"/>
                <w:color w:val="auto"/>
                <w:sz w:val="28"/>
                <w:szCs w:val="28"/>
                <w:highlight w:val="none"/>
              </w:rPr>
            </w:pPr>
          </w:p>
        </w:tc>
        <w:tc>
          <w:tcPr>
            <w:tcW w:w="1580" w:type="dxa"/>
            <w:noWrap w:val="0"/>
            <w:vAlign w:val="top"/>
          </w:tcPr>
          <w:p w14:paraId="10357E0B">
            <w:pPr>
              <w:rPr>
                <w:rFonts w:hint="eastAsia" w:ascii="宋体" w:hAnsi="宋体" w:eastAsia="宋体"/>
                <w:color w:val="auto"/>
                <w:sz w:val="28"/>
                <w:szCs w:val="28"/>
                <w:highlight w:val="none"/>
              </w:rPr>
            </w:pPr>
          </w:p>
        </w:tc>
        <w:tc>
          <w:tcPr>
            <w:tcW w:w="1435" w:type="dxa"/>
            <w:noWrap w:val="0"/>
            <w:vAlign w:val="top"/>
          </w:tcPr>
          <w:p w14:paraId="0B76A445">
            <w:pPr>
              <w:rPr>
                <w:rFonts w:hint="eastAsia" w:ascii="宋体" w:hAnsi="宋体" w:eastAsia="宋体"/>
                <w:color w:val="auto"/>
                <w:sz w:val="28"/>
                <w:szCs w:val="28"/>
                <w:highlight w:val="none"/>
              </w:rPr>
            </w:pPr>
          </w:p>
        </w:tc>
      </w:tr>
      <w:tr w14:paraId="5BAD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2492F630">
            <w:pPr>
              <w:rPr>
                <w:rFonts w:hint="eastAsia" w:ascii="宋体" w:hAnsi="宋体" w:eastAsia="宋体"/>
                <w:color w:val="auto"/>
                <w:sz w:val="28"/>
                <w:szCs w:val="28"/>
                <w:highlight w:val="none"/>
              </w:rPr>
            </w:pPr>
          </w:p>
        </w:tc>
        <w:tc>
          <w:tcPr>
            <w:tcW w:w="1523" w:type="dxa"/>
            <w:noWrap w:val="0"/>
            <w:vAlign w:val="top"/>
          </w:tcPr>
          <w:p w14:paraId="59F1E76E">
            <w:pPr>
              <w:rPr>
                <w:rFonts w:hint="eastAsia" w:ascii="宋体" w:hAnsi="宋体" w:eastAsia="宋体"/>
                <w:color w:val="auto"/>
                <w:sz w:val="28"/>
                <w:szCs w:val="28"/>
                <w:highlight w:val="none"/>
              </w:rPr>
            </w:pPr>
          </w:p>
        </w:tc>
        <w:tc>
          <w:tcPr>
            <w:tcW w:w="1634" w:type="dxa"/>
            <w:noWrap w:val="0"/>
            <w:vAlign w:val="top"/>
          </w:tcPr>
          <w:p w14:paraId="00002D79">
            <w:pPr>
              <w:rPr>
                <w:rFonts w:hint="eastAsia" w:ascii="宋体" w:hAnsi="宋体" w:eastAsia="宋体"/>
                <w:color w:val="auto"/>
                <w:sz w:val="28"/>
                <w:szCs w:val="28"/>
                <w:highlight w:val="none"/>
              </w:rPr>
            </w:pPr>
          </w:p>
        </w:tc>
        <w:tc>
          <w:tcPr>
            <w:tcW w:w="858" w:type="dxa"/>
            <w:noWrap w:val="0"/>
            <w:vAlign w:val="top"/>
          </w:tcPr>
          <w:p w14:paraId="56DD792C">
            <w:pPr>
              <w:rPr>
                <w:rFonts w:hint="eastAsia" w:ascii="宋体" w:hAnsi="宋体" w:eastAsia="宋体"/>
                <w:color w:val="auto"/>
                <w:sz w:val="28"/>
                <w:szCs w:val="28"/>
                <w:highlight w:val="none"/>
              </w:rPr>
            </w:pPr>
          </w:p>
        </w:tc>
        <w:tc>
          <w:tcPr>
            <w:tcW w:w="1580" w:type="dxa"/>
            <w:noWrap w:val="0"/>
            <w:vAlign w:val="top"/>
          </w:tcPr>
          <w:p w14:paraId="7679A09D">
            <w:pPr>
              <w:rPr>
                <w:rFonts w:hint="eastAsia" w:ascii="宋体" w:hAnsi="宋体" w:eastAsia="宋体"/>
                <w:color w:val="auto"/>
                <w:sz w:val="28"/>
                <w:szCs w:val="28"/>
                <w:highlight w:val="none"/>
              </w:rPr>
            </w:pPr>
          </w:p>
        </w:tc>
        <w:tc>
          <w:tcPr>
            <w:tcW w:w="1580" w:type="dxa"/>
            <w:noWrap w:val="0"/>
            <w:vAlign w:val="top"/>
          </w:tcPr>
          <w:p w14:paraId="06BBF04C">
            <w:pPr>
              <w:rPr>
                <w:rFonts w:hint="eastAsia" w:ascii="宋体" w:hAnsi="宋体" w:eastAsia="宋体"/>
                <w:color w:val="auto"/>
                <w:sz w:val="28"/>
                <w:szCs w:val="28"/>
                <w:highlight w:val="none"/>
              </w:rPr>
            </w:pPr>
          </w:p>
        </w:tc>
        <w:tc>
          <w:tcPr>
            <w:tcW w:w="1435" w:type="dxa"/>
            <w:noWrap w:val="0"/>
            <w:vAlign w:val="top"/>
          </w:tcPr>
          <w:p w14:paraId="25C1D63B">
            <w:pPr>
              <w:rPr>
                <w:rFonts w:hint="eastAsia" w:ascii="宋体" w:hAnsi="宋体" w:eastAsia="宋体"/>
                <w:color w:val="auto"/>
                <w:sz w:val="28"/>
                <w:szCs w:val="28"/>
                <w:highlight w:val="none"/>
              </w:rPr>
            </w:pPr>
          </w:p>
        </w:tc>
      </w:tr>
      <w:tr w14:paraId="2B55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7B2D8D13">
            <w:pPr>
              <w:rPr>
                <w:rFonts w:hint="eastAsia" w:ascii="宋体" w:hAnsi="宋体" w:eastAsia="宋体"/>
                <w:color w:val="auto"/>
                <w:sz w:val="28"/>
                <w:szCs w:val="28"/>
                <w:highlight w:val="none"/>
              </w:rPr>
            </w:pPr>
          </w:p>
        </w:tc>
        <w:tc>
          <w:tcPr>
            <w:tcW w:w="1523" w:type="dxa"/>
            <w:noWrap w:val="0"/>
            <w:vAlign w:val="top"/>
          </w:tcPr>
          <w:p w14:paraId="36C5ADC5">
            <w:pPr>
              <w:rPr>
                <w:rFonts w:hint="eastAsia" w:ascii="宋体" w:hAnsi="宋体" w:eastAsia="宋体"/>
                <w:color w:val="auto"/>
                <w:sz w:val="28"/>
                <w:szCs w:val="28"/>
                <w:highlight w:val="none"/>
              </w:rPr>
            </w:pPr>
          </w:p>
        </w:tc>
        <w:tc>
          <w:tcPr>
            <w:tcW w:w="1634" w:type="dxa"/>
            <w:noWrap w:val="0"/>
            <w:vAlign w:val="top"/>
          </w:tcPr>
          <w:p w14:paraId="6A29365E">
            <w:pPr>
              <w:rPr>
                <w:rFonts w:hint="eastAsia" w:ascii="宋体" w:hAnsi="宋体" w:eastAsia="宋体"/>
                <w:color w:val="auto"/>
                <w:sz w:val="28"/>
                <w:szCs w:val="28"/>
                <w:highlight w:val="none"/>
              </w:rPr>
            </w:pPr>
          </w:p>
        </w:tc>
        <w:tc>
          <w:tcPr>
            <w:tcW w:w="858" w:type="dxa"/>
            <w:noWrap w:val="0"/>
            <w:vAlign w:val="top"/>
          </w:tcPr>
          <w:p w14:paraId="6C4203BE">
            <w:pPr>
              <w:rPr>
                <w:rFonts w:hint="eastAsia" w:ascii="宋体" w:hAnsi="宋体" w:eastAsia="宋体"/>
                <w:color w:val="auto"/>
                <w:sz w:val="28"/>
                <w:szCs w:val="28"/>
                <w:highlight w:val="none"/>
              </w:rPr>
            </w:pPr>
          </w:p>
        </w:tc>
        <w:tc>
          <w:tcPr>
            <w:tcW w:w="1580" w:type="dxa"/>
            <w:noWrap w:val="0"/>
            <w:vAlign w:val="top"/>
          </w:tcPr>
          <w:p w14:paraId="7AA0E9CA">
            <w:pPr>
              <w:rPr>
                <w:rFonts w:hint="eastAsia" w:ascii="宋体" w:hAnsi="宋体" w:eastAsia="宋体"/>
                <w:color w:val="auto"/>
                <w:sz w:val="28"/>
                <w:szCs w:val="28"/>
                <w:highlight w:val="none"/>
              </w:rPr>
            </w:pPr>
          </w:p>
        </w:tc>
        <w:tc>
          <w:tcPr>
            <w:tcW w:w="1580" w:type="dxa"/>
            <w:noWrap w:val="0"/>
            <w:vAlign w:val="top"/>
          </w:tcPr>
          <w:p w14:paraId="0E1E8909">
            <w:pPr>
              <w:rPr>
                <w:rFonts w:hint="eastAsia" w:ascii="宋体" w:hAnsi="宋体" w:eastAsia="宋体"/>
                <w:color w:val="auto"/>
                <w:sz w:val="28"/>
                <w:szCs w:val="28"/>
                <w:highlight w:val="none"/>
              </w:rPr>
            </w:pPr>
          </w:p>
        </w:tc>
        <w:tc>
          <w:tcPr>
            <w:tcW w:w="1435" w:type="dxa"/>
            <w:noWrap w:val="0"/>
            <w:vAlign w:val="top"/>
          </w:tcPr>
          <w:p w14:paraId="79B94BD0">
            <w:pPr>
              <w:rPr>
                <w:rFonts w:hint="eastAsia" w:ascii="宋体" w:hAnsi="宋体" w:eastAsia="宋体"/>
                <w:color w:val="auto"/>
                <w:sz w:val="28"/>
                <w:szCs w:val="28"/>
                <w:highlight w:val="none"/>
              </w:rPr>
            </w:pPr>
          </w:p>
        </w:tc>
      </w:tr>
      <w:tr w14:paraId="3D70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56000184">
            <w:pPr>
              <w:rPr>
                <w:rFonts w:hint="eastAsia" w:ascii="宋体" w:hAnsi="宋体" w:eastAsia="宋体"/>
                <w:color w:val="auto"/>
                <w:sz w:val="28"/>
                <w:szCs w:val="28"/>
                <w:highlight w:val="none"/>
              </w:rPr>
            </w:pPr>
          </w:p>
        </w:tc>
        <w:tc>
          <w:tcPr>
            <w:tcW w:w="1523" w:type="dxa"/>
            <w:noWrap w:val="0"/>
            <w:vAlign w:val="top"/>
          </w:tcPr>
          <w:p w14:paraId="72AA222B">
            <w:pPr>
              <w:rPr>
                <w:rFonts w:hint="eastAsia" w:ascii="宋体" w:hAnsi="宋体" w:eastAsia="宋体"/>
                <w:color w:val="auto"/>
                <w:sz w:val="28"/>
                <w:szCs w:val="28"/>
                <w:highlight w:val="none"/>
              </w:rPr>
            </w:pPr>
          </w:p>
        </w:tc>
        <w:tc>
          <w:tcPr>
            <w:tcW w:w="1634" w:type="dxa"/>
            <w:noWrap w:val="0"/>
            <w:vAlign w:val="top"/>
          </w:tcPr>
          <w:p w14:paraId="3C8E641B">
            <w:pPr>
              <w:rPr>
                <w:rFonts w:hint="eastAsia" w:ascii="宋体" w:hAnsi="宋体" w:eastAsia="宋体"/>
                <w:color w:val="auto"/>
                <w:sz w:val="28"/>
                <w:szCs w:val="28"/>
                <w:highlight w:val="none"/>
              </w:rPr>
            </w:pPr>
          </w:p>
        </w:tc>
        <w:tc>
          <w:tcPr>
            <w:tcW w:w="858" w:type="dxa"/>
            <w:noWrap w:val="0"/>
            <w:vAlign w:val="top"/>
          </w:tcPr>
          <w:p w14:paraId="24330786">
            <w:pPr>
              <w:rPr>
                <w:rFonts w:hint="eastAsia" w:ascii="宋体" w:hAnsi="宋体" w:eastAsia="宋体"/>
                <w:color w:val="auto"/>
                <w:sz w:val="28"/>
                <w:szCs w:val="28"/>
                <w:highlight w:val="none"/>
              </w:rPr>
            </w:pPr>
          </w:p>
        </w:tc>
        <w:tc>
          <w:tcPr>
            <w:tcW w:w="1580" w:type="dxa"/>
            <w:noWrap w:val="0"/>
            <w:vAlign w:val="top"/>
          </w:tcPr>
          <w:p w14:paraId="18ADE9A9">
            <w:pPr>
              <w:rPr>
                <w:rFonts w:hint="eastAsia" w:ascii="宋体" w:hAnsi="宋体" w:eastAsia="宋体"/>
                <w:color w:val="auto"/>
                <w:sz w:val="28"/>
                <w:szCs w:val="28"/>
                <w:highlight w:val="none"/>
              </w:rPr>
            </w:pPr>
          </w:p>
        </w:tc>
        <w:tc>
          <w:tcPr>
            <w:tcW w:w="1580" w:type="dxa"/>
            <w:noWrap w:val="0"/>
            <w:vAlign w:val="top"/>
          </w:tcPr>
          <w:p w14:paraId="6EDA5E53">
            <w:pPr>
              <w:rPr>
                <w:rFonts w:hint="eastAsia" w:ascii="宋体" w:hAnsi="宋体" w:eastAsia="宋体"/>
                <w:color w:val="auto"/>
                <w:sz w:val="28"/>
                <w:szCs w:val="28"/>
                <w:highlight w:val="none"/>
              </w:rPr>
            </w:pPr>
          </w:p>
        </w:tc>
        <w:tc>
          <w:tcPr>
            <w:tcW w:w="1435" w:type="dxa"/>
            <w:noWrap w:val="0"/>
            <w:vAlign w:val="top"/>
          </w:tcPr>
          <w:p w14:paraId="1CB43B3F">
            <w:pPr>
              <w:rPr>
                <w:rFonts w:hint="eastAsia" w:ascii="宋体" w:hAnsi="宋体" w:eastAsia="宋体"/>
                <w:color w:val="auto"/>
                <w:sz w:val="28"/>
                <w:szCs w:val="28"/>
                <w:highlight w:val="none"/>
              </w:rPr>
            </w:pPr>
          </w:p>
        </w:tc>
      </w:tr>
    </w:tbl>
    <w:p w14:paraId="13B36EDE">
      <w:pPr>
        <w:rPr>
          <w:rFonts w:hint="eastAsia" w:ascii="宋体" w:hAnsi="宋体" w:eastAsia="宋体"/>
          <w:color w:val="auto"/>
          <w:sz w:val="24"/>
          <w:szCs w:val="24"/>
          <w:highlight w:val="none"/>
        </w:rPr>
      </w:pPr>
    </w:p>
    <w:p w14:paraId="61DBC716">
      <w:pPr>
        <w:rPr>
          <w:rFonts w:hint="eastAsia" w:ascii="宋体" w:hAnsi="宋体" w:eastAsia="宋体"/>
          <w:color w:val="auto"/>
          <w:sz w:val="28"/>
          <w:szCs w:val="28"/>
          <w:highlight w:val="none"/>
        </w:rPr>
      </w:pPr>
    </w:p>
    <w:p w14:paraId="1FA9FE55">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法定代表人（签字或盖章）：     </w:t>
      </w:r>
    </w:p>
    <w:p w14:paraId="04907A61">
      <w:pPr>
        <w:rPr>
          <w:rFonts w:hint="eastAsia" w:ascii="宋体" w:hAnsi="宋体" w:eastAsia="宋体"/>
          <w:color w:val="auto"/>
          <w:sz w:val="28"/>
          <w:szCs w:val="28"/>
          <w:highlight w:val="none"/>
        </w:rPr>
      </w:pPr>
    </w:p>
    <w:p w14:paraId="72178C20">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投标人（盖章）：</w:t>
      </w:r>
    </w:p>
    <w:p w14:paraId="08ABA7E8">
      <w:pPr>
        <w:jc w:val="right"/>
        <w:rPr>
          <w:rFonts w:hint="eastAsia" w:ascii="宋体" w:hAnsi="宋体" w:eastAsia="宋体"/>
          <w:color w:val="auto"/>
          <w:sz w:val="28"/>
          <w:szCs w:val="28"/>
          <w:highlight w:val="none"/>
        </w:rPr>
      </w:pPr>
    </w:p>
    <w:p w14:paraId="57198175">
      <w:pPr>
        <w:pStyle w:val="27"/>
        <w:ind w:firstLine="6020" w:firstLineChars="2150"/>
        <w:rPr>
          <w:rFonts w:hint="eastAsia" w:eastAsia="宋体"/>
          <w:color w:val="auto"/>
          <w:highlight w:val="none"/>
        </w:rPr>
      </w:pPr>
      <w:r>
        <w:rPr>
          <w:rFonts w:hint="eastAsia" w:eastAsia="宋体"/>
          <w:color w:val="auto"/>
          <w:highlight w:val="none"/>
        </w:rPr>
        <w:t>日期：   年   月   日</w:t>
      </w:r>
    </w:p>
    <w:p w14:paraId="4F713A1A">
      <w:pPr>
        <w:rPr>
          <w:rFonts w:hint="eastAsia" w:eastAsia="宋体"/>
          <w:b/>
          <w:color w:val="auto"/>
          <w:szCs w:val="32"/>
          <w:highlight w:val="none"/>
        </w:rPr>
      </w:pPr>
      <w:r>
        <w:rPr>
          <w:rFonts w:hint="eastAsia" w:eastAsia="宋体"/>
          <w:color w:val="auto"/>
          <w:sz w:val="28"/>
          <w:highlight w:val="none"/>
        </w:rPr>
        <w:br w:type="page"/>
      </w:r>
      <w:r>
        <w:rPr>
          <w:rFonts w:hint="eastAsia" w:ascii="宋体" w:hAnsi="宋体" w:eastAsia="宋体"/>
          <w:color w:val="auto"/>
          <w:sz w:val="28"/>
          <w:szCs w:val="28"/>
          <w:highlight w:val="none"/>
        </w:rPr>
        <w:t>附件三：</w:t>
      </w:r>
    </w:p>
    <w:p w14:paraId="4457C883">
      <w:pPr>
        <w:adjustRightInd w:val="0"/>
        <w:snapToGrid w:val="0"/>
        <w:spacing w:line="480" w:lineRule="auto"/>
        <w:jc w:val="center"/>
        <w:rPr>
          <w:rFonts w:hint="eastAsia" w:ascii="宋体" w:hAnsi="宋体" w:eastAsia="宋体"/>
          <w:bCs/>
          <w:color w:val="auto"/>
          <w:sz w:val="30"/>
          <w:highlight w:val="none"/>
        </w:rPr>
      </w:pPr>
      <w:r>
        <w:rPr>
          <w:rFonts w:hint="eastAsia" w:eastAsia="宋体"/>
          <w:b/>
          <w:color w:val="auto"/>
          <w:szCs w:val="32"/>
          <w:highlight w:val="none"/>
          <w:lang w:eastAsia="zh-CN"/>
        </w:rPr>
        <w:t>天和大厦钢结构除锈工程</w:t>
      </w:r>
      <w:r>
        <w:rPr>
          <w:rFonts w:hint="eastAsia" w:eastAsia="宋体"/>
          <w:bCs/>
          <w:color w:val="auto"/>
          <w:sz w:val="30"/>
          <w:highlight w:val="none"/>
        </w:rPr>
        <w:t xml:space="preserve">   </w:t>
      </w:r>
    </w:p>
    <w:p w14:paraId="797A2E98">
      <w:pPr>
        <w:adjustRightInd w:val="0"/>
        <w:snapToGrid w:val="0"/>
        <w:spacing w:line="480" w:lineRule="auto"/>
        <w:jc w:val="center"/>
        <w:rPr>
          <w:rFonts w:hint="eastAsia" w:ascii="宋体" w:hAnsi="宋体" w:eastAsia="宋体"/>
          <w:b/>
          <w:bCs/>
          <w:color w:val="auto"/>
          <w:sz w:val="44"/>
          <w:highlight w:val="none"/>
        </w:rPr>
      </w:pPr>
      <w:r>
        <w:rPr>
          <w:rFonts w:hint="eastAsia" w:ascii="宋体" w:hAnsi="宋体" w:eastAsia="宋体"/>
          <w:b/>
          <w:bCs/>
          <w:color w:val="auto"/>
          <w:sz w:val="28"/>
          <w:szCs w:val="28"/>
          <w:highlight w:val="none"/>
        </w:rPr>
        <w:t>项目管理机构配备表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351"/>
        <w:gridCol w:w="574"/>
        <w:gridCol w:w="723"/>
        <w:gridCol w:w="1177"/>
        <w:gridCol w:w="970"/>
        <w:gridCol w:w="2296"/>
        <w:gridCol w:w="861"/>
      </w:tblGrid>
      <w:tr w14:paraId="502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trPr>
        <w:tc>
          <w:tcPr>
            <w:tcW w:w="1627" w:type="dxa"/>
            <w:noWrap w:val="0"/>
            <w:vAlign w:val="center"/>
          </w:tcPr>
          <w:p w14:paraId="2200D05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p>
        </w:tc>
        <w:tc>
          <w:tcPr>
            <w:tcW w:w="1351" w:type="dxa"/>
            <w:noWrap w:val="0"/>
            <w:vAlign w:val="center"/>
          </w:tcPr>
          <w:p w14:paraId="47ED2D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574" w:type="dxa"/>
            <w:noWrap w:val="0"/>
            <w:vAlign w:val="center"/>
          </w:tcPr>
          <w:p w14:paraId="523E2E5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性别</w:t>
            </w:r>
          </w:p>
        </w:tc>
        <w:tc>
          <w:tcPr>
            <w:tcW w:w="723" w:type="dxa"/>
            <w:noWrap w:val="0"/>
            <w:vAlign w:val="center"/>
          </w:tcPr>
          <w:p w14:paraId="33B5610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年龄</w:t>
            </w:r>
          </w:p>
        </w:tc>
        <w:tc>
          <w:tcPr>
            <w:tcW w:w="1177" w:type="dxa"/>
            <w:noWrap w:val="0"/>
            <w:vAlign w:val="center"/>
          </w:tcPr>
          <w:p w14:paraId="407F5AE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职称</w:t>
            </w:r>
          </w:p>
        </w:tc>
        <w:tc>
          <w:tcPr>
            <w:tcW w:w="970" w:type="dxa"/>
            <w:noWrap w:val="0"/>
            <w:vAlign w:val="center"/>
          </w:tcPr>
          <w:p w14:paraId="3C2A470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本岗</w:t>
            </w:r>
          </w:p>
          <w:p w14:paraId="3D35658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工龄</w:t>
            </w:r>
          </w:p>
        </w:tc>
        <w:tc>
          <w:tcPr>
            <w:tcW w:w="2296" w:type="dxa"/>
            <w:noWrap w:val="0"/>
            <w:vAlign w:val="center"/>
          </w:tcPr>
          <w:p w14:paraId="272A359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岗位证书号码</w:t>
            </w:r>
          </w:p>
          <w:p w14:paraId="332CEBA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身份证号码</w:t>
            </w:r>
          </w:p>
        </w:tc>
        <w:tc>
          <w:tcPr>
            <w:tcW w:w="861" w:type="dxa"/>
            <w:noWrap w:val="0"/>
            <w:vAlign w:val="center"/>
          </w:tcPr>
          <w:p w14:paraId="262026B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14:paraId="0B67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center"/>
          </w:tcPr>
          <w:p w14:paraId="4FD88AC7">
            <w:pPr>
              <w:ind w:right="-640" w:righ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351" w:type="dxa"/>
            <w:noWrap w:val="0"/>
            <w:vAlign w:val="center"/>
          </w:tcPr>
          <w:p w14:paraId="27C7C8E0">
            <w:pPr>
              <w:jc w:val="center"/>
              <w:rPr>
                <w:rFonts w:hint="eastAsia" w:ascii="宋体" w:hAnsi="宋体" w:eastAsia="宋体" w:cs="宋体"/>
                <w:color w:val="auto"/>
                <w:sz w:val="28"/>
                <w:szCs w:val="28"/>
                <w:highlight w:val="none"/>
              </w:rPr>
            </w:pPr>
          </w:p>
        </w:tc>
        <w:tc>
          <w:tcPr>
            <w:tcW w:w="574" w:type="dxa"/>
            <w:noWrap w:val="0"/>
            <w:vAlign w:val="center"/>
          </w:tcPr>
          <w:p w14:paraId="342557FF">
            <w:pPr>
              <w:jc w:val="center"/>
              <w:rPr>
                <w:rFonts w:hint="eastAsia" w:ascii="宋体" w:hAnsi="宋体" w:eastAsia="宋体" w:cs="宋体"/>
                <w:color w:val="auto"/>
                <w:sz w:val="28"/>
                <w:szCs w:val="28"/>
                <w:highlight w:val="none"/>
              </w:rPr>
            </w:pPr>
          </w:p>
        </w:tc>
        <w:tc>
          <w:tcPr>
            <w:tcW w:w="723" w:type="dxa"/>
            <w:noWrap w:val="0"/>
            <w:vAlign w:val="center"/>
          </w:tcPr>
          <w:p w14:paraId="49C7C19F">
            <w:pPr>
              <w:jc w:val="center"/>
              <w:rPr>
                <w:rFonts w:hint="eastAsia" w:ascii="宋体" w:hAnsi="宋体" w:eastAsia="宋体" w:cs="宋体"/>
                <w:color w:val="auto"/>
                <w:sz w:val="28"/>
                <w:szCs w:val="28"/>
                <w:highlight w:val="none"/>
              </w:rPr>
            </w:pPr>
          </w:p>
        </w:tc>
        <w:tc>
          <w:tcPr>
            <w:tcW w:w="1177" w:type="dxa"/>
            <w:noWrap w:val="0"/>
            <w:vAlign w:val="center"/>
          </w:tcPr>
          <w:p w14:paraId="0C3C479B">
            <w:pPr>
              <w:jc w:val="center"/>
              <w:rPr>
                <w:rFonts w:hint="eastAsia" w:ascii="宋体" w:hAnsi="宋体" w:eastAsia="宋体" w:cs="宋体"/>
                <w:color w:val="auto"/>
                <w:sz w:val="28"/>
                <w:szCs w:val="28"/>
                <w:highlight w:val="none"/>
              </w:rPr>
            </w:pPr>
          </w:p>
        </w:tc>
        <w:tc>
          <w:tcPr>
            <w:tcW w:w="970" w:type="dxa"/>
            <w:noWrap w:val="0"/>
            <w:vAlign w:val="center"/>
          </w:tcPr>
          <w:p w14:paraId="5E3F76D4">
            <w:pPr>
              <w:jc w:val="center"/>
              <w:rPr>
                <w:rFonts w:hint="eastAsia" w:ascii="宋体" w:hAnsi="宋体" w:eastAsia="宋体" w:cs="宋体"/>
                <w:color w:val="auto"/>
                <w:sz w:val="28"/>
                <w:szCs w:val="28"/>
                <w:highlight w:val="none"/>
              </w:rPr>
            </w:pPr>
          </w:p>
        </w:tc>
        <w:tc>
          <w:tcPr>
            <w:tcW w:w="2296" w:type="dxa"/>
            <w:noWrap w:val="0"/>
            <w:vAlign w:val="center"/>
          </w:tcPr>
          <w:p w14:paraId="7D842CF9">
            <w:pPr>
              <w:jc w:val="center"/>
              <w:rPr>
                <w:rFonts w:hint="eastAsia" w:ascii="宋体" w:hAnsi="宋体" w:eastAsia="宋体" w:cs="宋体"/>
                <w:color w:val="auto"/>
                <w:sz w:val="28"/>
                <w:szCs w:val="28"/>
                <w:highlight w:val="none"/>
              </w:rPr>
            </w:pPr>
          </w:p>
        </w:tc>
        <w:tc>
          <w:tcPr>
            <w:tcW w:w="861" w:type="dxa"/>
            <w:noWrap w:val="0"/>
            <w:vAlign w:val="center"/>
          </w:tcPr>
          <w:p w14:paraId="31DC587C">
            <w:pPr>
              <w:jc w:val="center"/>
              <w:rPr>
                <w:rFonts w:hint="eastAsia" w:ascii="宋体" w:hAnsi="宋体" w:eastAsia="宋体" w:cs="宋体"/>
                <w:color w:val="auto"/>
                <w:sz w:val="28"/>
                <w:szCs w:val="28"/>
                <w:highlight w:val="none"/>
              </w:rPr>
            </w:pPr>
          </w:p>
        </w:tc>
      </w:tr>
      <w:tr w14:paraId="259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center"/>
          </w:tcPr>
          <w:p w14:paraId="208A991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351" w:type="dxa"/>
            <w:noWrap w:val="0"/>
            <w:vAlign w:val="center"/>
          </w:tcPr>
          <w:p w14:paraId="511FEE45">
            <w:pPr>
              <w:jc w:val="center"/>
              <w:rPr>
                <w:rFonts w:hint="eastAsia" w:ascii="宋体" w:hAnsi="宋体" w:eastAsia="宋体" w:cs="宋体"/>
                <w:color w:val="auto"/>
                <w:sz w:val="28"/>
                <w:szCs w:val="28"/>
                <w:highlight w:val="none"/>
              </w:rPr>
            </w:pPr>
          </w:p>
        </w:tc>
        <w:tc>
          <w:tcPr>
            <w:tcW w:w="574" w:type="dxa"/>
            <w:noWrap w:val="0"/>
            <w:vAlign w:val="center"/>
          </w:tcPr>
          <w:p w14:paraId="33405D56">
            <w:pPr>
              <w:jc w:val="center"/>
              <w:rPr>
                <w:rFonts w:hint="eastAsia" w:ascii="宋体" w:hAnsi="宋体" w:eastAsia="宋体" w:cs="宋体"/>
                <w:color w:val="auto"/>
                <w:sz w:val="28"/>
                <w:szCs w:val="28"/>
                <w:highlight w:val="none"/>
              </w:rPr>
            </w:pPr>
          </w:p>
        </w:tc>
        <w:tc>
          <w:tcPr>
            <w:tcW w:w="723" w:type="dxa"/>
            <w:noWrap w:val="0"/>
            <w:vAlign w:val="center"/>
          </w:tcPr>
          <w:p w14:paraId="04BD654C">
            <w:pPr>
              <w:jc w:val="center"/>
              <w:rPr>
                <w:rFonts w:hint="eastAsia" w:ascii="宋体" w:hAnsi="宋体" w:eastAsia="宋体" w:cs="宋体"/>
                <w:color w:val="auto"/>
                <w:sz w:val="28"/>
                <w:szCs w:val="28"/>
                <w:highlight w:val="none"/>
              </w:rPr>
            </w:pPr>
          </w:p>
        </w:tc>
        <w:tc>
          <w:tcPr>
            <w:tcW w:w="1177" w:type="dxa"/>
            <w:noWrap w:val="0"/>
            <w:vAlign w:val="center"/>
          </w:tcPr>
          <w:p w14:paraId="4FF58F75">
            <w:pPr>
              <w:jc w:val="center"/>
              <w:rPr>
                <w:rFonts w:hint="eastAsia" w:ascii="宋体" w:hAnsi="宋体" w:eastAsia="宋体" w:cs="宋体"/>
                <w:color w:val="auto"/>
                <w:sz w:val="28"/>
                <w:szCs w:val="28"/>
                <w:highlight w:val="none"/>
              </w:rPr>
            </w:pPr>
          </w:p>
        </w:tc>
        <w:tc>
          <w:tcPr>
            <w:tcW w:w="970" w:type="dxa"/>
            <w:noWrap w:val="0"/>
            <w:vAlign w:val="center"/>
          </w:tcPr>
          <w:p w14:paraId="62057AF5">
            <w:pPr>
              <w:jc w:val="center"/>
              <w:rPr>
                <w:rFonts w:hint="eastAsia" w:ascii="宋体" w:hAnsi="宋体" w:eastAsia="宋体" w:cs="宋体"/>
                <w:color w:val="auto"/>
                <w:sz w:val="28"/>
                <w:szCs w:val="28"/>
                <w:highlight w:val="none"/>
              </w:rPr>
            </w:pPr>
          </w:p>
        </w:tc>
        <w:tc>
          <w:tcPr>
            <w:tcW w:w="2296" w:type="dxa"/>
            <w:noWrap w:val="0"/>
            <w:vAlign w:val="center"/>
          </w:tcPr>
          <w:p w14:paraId="279E5B2F">
            <w:pPr>
              <w:jc w:val="center"/>
              <w:rPr>
                <w:rFonts w:hint="eastAsia" w:ascii="宋体" w:hAnsi="宋体" w:eastAsia="宋体" w:cs="宋体"/>
                <w:color w:val="auto"/>
                <w:sz w:val="28"/>
                <w:szCs w:val="28"/>
                <w:highlight w:val="none"/>
              </w:rPr>
            </w:pPr>
          </w:p>
        </w:tc>
        <w:tc>
          <w:tcPr>
            <w:tcW w:w="861" w:type="dxa"/>
            <w:noWrap w:val="0"/>
            <w:vAlign w:val="center"/>
          </w:tcPr>
          <w:p w14:paraId="1D9B9128">
            <w:pPr>
              <w:jc w:val="center"/>
              <w:rPr>
                <w:rFonts w:hint="eastAsia" w:ascii="宋体" w:hAnsi="宋体" w:eastAsia="宋体" w:cs="宋体"/>
                <w:color w:val="auto"/>
                <w:sz w:val="28"/>
                <w:szCs w:val="28"/>
                <w:highlight w:val="none"/>
              </w:rPr>
            </w:pPr>
          </w:p>
        </w:tc>
      </w:tr>
      <w:tr w14:paraId="12B5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center"/>
          </w:tcPr>
          <w:p w14:paraId="2B7BD92D">
            <w:pPr>
              <w:rPr>
                <w:rFonts w:hint="eastAsia" w:ascii="宋体" w:hAnsi="宋体" w:eastAsia="宋体" w:cs="宋体"/>
                <w:color w:val="auto"/>
                <w:sz w:val="28"/>
                <w:szCs w:val="28"/>
                <w:highlight w:val="none"/>
              </w:rPr>
            </w:pPr>
          </w:p>
        </w:tc>
        <w:tc>
          <w:tcPr>
            <w:tcW w:w="1351" w:type="dxa"/>
            <w:noWrap w:val="0"/>
            <w:vAlign w:val="center"/>
          </w:tcPr>
          <w:p w14:paraId="47C3D6F6">
            <w:pPr>
              <w:jc w:val="center"/>
              <w:rPr>
                <w:rFonts w:hint="eastAsia" w:ascii="宋体" w:hAnsi="宋体" w:eastAsia="宋体" w:cs="宋体"/>
                <w:color w:val="auto"/>
                <w:sz w:val="28"/>
                <w:szCs w:val="28"/>
                <w:highlight w:val="none"/>
              </w:rPr>
            </w:pPr>
          </w:p>
        </w:tc>
        <w:tc>
          <w:tcPr>
            <w:tcW w:w="574" w:type="dxa"/>
            <w:noWrap w:val="0"/>
            <w:vAlign w:val="center"/>
          </w:tcPr>
          <w:p w14:paraId="0F47D8AD">
            <w:pPr>
              <w:jc w:val="center"/>
              <w:rPr>
                <w:rFonts w:hint="eastAsia" w:ascii="宋体" w:hAnsi="宋体" w:eastAsia="宋体" w:cs="宋体"/>
                <w:color w:val="auto"/>
                <w:sz w:val="28"/>
                <w:szCs w:val="28"/>
                <w:highlight w:val="none"/>
              </w:rPr>
            </w:pPr>
          </w:p>
        </w:tc>
        <w:tc>
          <w:tcPr>
            <w:tcW w:w="723" w:type="dxa"/>
            <w:noWrap w:val="0"/>
            <w:vAlign w:val="center"/>
          </w:tcPr>
          <w:p w14:paraId="1149469B">
            <w:pPr>
              <w:jc w:val="center"/>
              <w:rPr>
                <w:rFonts w:hint="eastAsia" w:ascii="宋体" w:hAnsi="宋体" w:eastAsia="宋体" w:cs="宋体"/>
                <w:color w:val="auto"/>
                <w:sz w:val="28"/>
                <w:szCs w:val="28"/>
                <w:highlight w:val="none"/>
              </w:rPr>
            </w:pPr>
          </w:p>
        </w:tc>
        <w:tc>
          <w:tcPr>
            <w:tcW w:w="1177" w:type="dxa"/>
            <w:noWrap w:val="0"/>
            <w:vAlign w:val="center"/>
          </w:tcPr>
          <w:p w14:paraId="633C2F05">
            <w:pPr>
              <w:jc w:val="center"/>
              <w:rPr>
                <w:rFonts w:hint="eastAsia" w:ascii="宋体" w:hAnsi="宋体" w:eastAsia="宋体" w:cs="宋体"/>
                <w:color w:val="auto"/>
                <w:sz w:val="28"/>
                <w:szCs w:val="28"/>
                <w:highlight w:val="none"/>
              </w:rPr>
            </w:pPr>
          </w:p>
        </w:tc>
        <w:tc>
          <w:tcPr>
            <w:tcW w:w="970" w:type="dxa"/>
            <w:noWrap w:val="0"/>
            <w:vAlign w:val="center"/>
          </w:tcPr>
          <w:p w14:paraId="71EBAFC6">
            <w:pPr>
              <w:jc w:val="center"/>
              <w:rPr>
                <w:rFonts w:hint="eastAsia" w:ascii="宋体" w:hAnsi="宋体" w:eastAsia="宋体" w:cs="宋体"/>
                <w:color w:val="auto"/>
                <w:sz w:val="28"/>
                <w:szCs w:val="28"/>
                <w:highlight w:val="none"/>
              </w:rPr>
            </w:pPr>
          </w:p>
        </w:tc>
        <w:tc>
          <w:tcPr>
            <w:tcW w:w="2296" w:type="dxa"/>
            <w:noWrap w:val="0"/>
            <w:vAlign w:val="center"/>
          </w:tcPr>
          <w:p w14:paraId="375DAD65">
            <w:pPr>
              <w:jc w:val="center"/>
              <w:rPr>
                <w:rFonts w:hint="eastAsia" w:ascii="宋体" w:hAnsi="宋体" w:eastAsia="宋体" w:cs="宋体"/>
                <w:color w:val="auto"/>
                <w:sz w:val="28"/>
                <w:szCs w:val="28"/>
                <w:highlight w:val="none"/>
              </w:rPr>
            </w:pPr>
          </w:p>
        </w:tc>
        <w:tc>
          <w:tcPr>
            <w:tcW w:w="861" w:type="dxa"/>
            <w:noWrap w:val="0"/>
            <w:vAlign w:val="center"/>
          </w:tcPr>
          <w:p w14:paraId="5E3E362F">
            <w:pPr>
              <w:jc w:val="center"/>
              <w:rPr>
                <w:rFonts w:hint="eastAsia" w:ascii="宋体" w:hAnsi="宋体" w:eastAsia="宋体" w:cs="宋体"/>
                <w:color w:val="auto"/>
                <w:sz w:val="28"/>
                <w:szCs w:val="28"/>
                <w:highlight w:val="none"/>
              </w:rPr>
            </w:pPr>
          </w:p>
        </w:tc>
      </w:tr>
      <w:tr w14:paraId="33A5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center"/>
          </w:tcPr>
          <w:p w14:paraId="77EB67FD">
            <w:pPr>
              <w:rPr>
                <w:rFonts w:hint="eastAsia" w:ascii="宋体" w:hAnsi="宋体" w:eastAsia="宋体" w:cs="宋体"/>
                <w:color w:val="auto"/>
                <w:sz w:val="28"/>
                <w:szCs w:val="28"/>
                <w:highlight w:val="none"/>
              </w:rPr>
            </w:pPr>
          </w:p>
        </w:tc>
        <w:tc>
          <w:tcPr>
            <w:tcW w:w="1351" w:type="dxa"/>
            <w:noWrap w:val="0"/>
            <w:vAlign w:val="center"/>
          </w:tcPr>
          <w:p w14:paraId="65549A9A">
            <w:pPr>
              <w:jc w:val="center"/>
              <w:rPr>
                <w:rFonts w:hint="eastAsia" w:ascii="宋体" w:hAnsi="宋体" w:eastAsia="宋体" w:cs="宋体"/>
                <w:color w:val="auto"/>
                <w:sz w:val="28"/>
                <w:szCs w:val="28"/>
                <w:highlight w:val="none"/>
              </w:rPr>
            </w:pPr>
          </w:p>
        </w:tc>
        <w:tc>
          <w:tcPr>
            <w:tcW w:w="574" w:type="dxa"/>
            <w:noWrap w:val="0"/>
            <w:vAlign w:val="center"/>
          </w:tcPr>
          <w:p w14:paraId="484F1981">
            <w:pPr>
              <w:jc w:val="center"/>
              <w:rPr>
                <w:rFonts w:hint="eastAsia" w:ascii="宋体" w:hAnsi="宋体" w:eastAsia="宋体" w:cs="宋体"/>
                <w:color w:val="auto"/>
                <w:sz w:val="28"/>
                <w:szCs w:val="28"/>
                <w:highlight w:val="none"/>
              </w:rPr>
            </w:pPr>
          </w:p>
        </w:tc>
        <w:tc>
          <w:tcPr>
            <w:tcW w:w="723" w:type="dxa"/>
            <w:noWrap w:val="0"/>
            <w:vAlign w:val="center"/>
          </w:tcPr>
          <w:p w14:paraId="30328F88">
            <w:pPr>
              <w:jc w:val="center"/>
              <w:rPr>
                <w:rFonts w:hint="eastAsia" w:ascii="宋体" w:hAnsi="宋体" w:eastAsia="宋体" w:cs="宋体"/>
                <w:color w:val="auto"/>
                <w:sz w:val="28"/>
                <w:szCs w:val="28"/>
                <w:highlight w:val="none"/>
              </w:rPr>
            </w:pPr>
          </w:p>
        </w:tc>
        <w:tc>
          <w:tcPr>
            <w:tcW w:w="1177" w:type="dxa"/>
            <w:noWrap w:val="0"/>
            <w:vAlign w:val="center"/>
          </w:tcPr>
          <w:p w14:paraId="74B3E624">
            <w:pPr>
              <w:jc w:val="center"/>
              <w:rPr>
                <w:rFonts w:hint="eastAsia" w:ascii="宋体" w:hAnsi="宋体" w:eastAsia="宋体" w:cs="宋体"/>
                <w:color w:val="auto"/>
                <w:sz w:val="28"/>
                <w:szCs w:val="28"/>
                <w:highlight w:val="none"/>
              </w:rPr>
            </w:pPr>
          </w:p>
        </w:tc>
        <w:tc>
          <w:tcPr>
            <w:tcW w:w="970" w:type="dxa"/>
            <w:noWrap w:val="0"/>
            <w:vAlign w:val="center"/>
          </w:tcPr>
          <w:p w14:paraId="3105F995">
            <w:pPr>
              <w:jc w:val="center"/>
              <w:rPr>
                <w:rFonts w:hint="eastAsia" w:ascii="宋体" w:hAnsi="宋体" w:eastAsia="宋体" w:cs="宋体"/>
                <w:color w:val="auto"/>
                <w:sz w:val="28"/>
                <w:szCs w:val="28"/>
                <w:highlight w:val="none"/>
              </w:rPr>
            </w:pPr>
          </w:p>
        </w:tc>
        <w:tc>
          <w:tcPr>
            <w:tcW w:w="2296" w:type="dxa"/>
            <w:noWrap w:val="0"/>
            <w:vAlign w:val="center"/>
          </w:tcPr>
          <w:p w14:paraId="22D48FC6">
            <w:pPr>
              <w:jc w:val="center"/>
              <w:rPr>
                <w:rFonts w:hint="eastAsia" w:ascii="宋体" w:hAnsi="宋体" w:eastAsia="宋体" w:cs="宋体"/>
                <w:color w:val="auto"/>
                <w:sz w:val="28"/>
                <w:szCs w:val="28"/>
                <w:highlight w:val="none"/>
              </w:rPr>
            </w:pPr>
          </w:p>
        </w:tc>
        <w:tc>
          <w:tcPr>
            <w:tcW w:w="861" w:type="dxa"/>
            <w:noWrap w:val="0"/>
            <w:vAlign w:val="center"/>
          </w:tcPr>
          <w:p w14:paraId="14F5A38D">
            <w:pPr>
              <w:jc w:val="center"/>
              <w:rPr>
                <w:rFonts w:hint="eastAsia" w:ascii="宋体" w:hAnsi="宋体" w:eastAsia="宋体" w:cs="宋体"/>
                <w:color w:val="auto"/>
                <w:sz w:val="28"/>
                <w:szCs w:val="28"/>
                <w:highlight w:val="none"/>
              </w:rPr>
            </w:pPr>
          </w:p>
        </w:tc>
      </w:tr>
      <w:tr w14:paraId="25A7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center"/>
          </w:tcPr>
          <w:p w14:paraId="4BA84B35">
            <w:pPr>
              <w:rPr>
                <w:rFonts w:hint="eastAsia" w:ascii="宋体" w:hAnsi="宋体" w:eastAsia="宋体" w:cs="宋体"/>
                <w:color w:val="auto"/>
                <w:sz w:val="28"/>
                <w:szCs w:val="28"/>
                <w:highlight w:val="none"/>
              </w:rPr>
            </w:pPr>
          </w:p>
        </w:tc>
        <w:tc>
          <w:tcPr>
            <w:tcW w:w="1351" w:type="dxa"/>
            <w:noWrap w:val="0"/>
            <w:vAlign w:val="center"/>
          </w:tcPr>
          <w:p w14:paraId="291A75E2">
            <w:pPr>
              <w:jc w:val="center"/>
              <w:rPr>
                <w:rFonts w:hint="eastAsia" w:ascii="宋体" w:hAnsi="宋体" w:eastAsia="宋体" w:cs="宋体"/>
                <w:color w:val="auto"/>
                <w:sz w:val="28"/>
                <w:szCs w:val="28"/>
                <w:highlight w:val="none"/>
              </w:rPr>
            </w:pPr>
          </w:p>
        </w:tc>
        <w:tc>
          <w:tcPr>
            <w:tcW w:w="574" w:type="dxa"/>
            <w:noWrap w:val="0"/>
            <w:vAlign w:val="center"/>
          </w:tcPr>
          <w:p w14:paraId="30D99642">
            <w:pPr>
              <w:jc w:val="center"/>
              <w:rPr>
                <w:rFonts w:hint="eastAsia" w:ascii="宋体" w:hAnsi="宋体" w:eastAsia="宋体" w:cs="宋体"/>
                <w:color w:val="auto"/>
                <w:sz w:val="28"/>
                <w:szCs w:val="28"/>
                <w:highlight w:val="none"/>
              </w:rPr>
            </w:pPr>
          </w:p>
        </w:tc>
        <w:tc>
          <w:tcPr>
            <w:tcW w:w="723" w:type="dxa"/>
            <w:noWrap w:val="0"/>
            <w:vAlign w:val="center"/>
          </w:tcPr>
          <w:p w14:paraId="4551BA77">
            <w:pPr>
              <w:jc w:val="center"/>
              <w:rPr>
                <w:rFonts w:hint="eastAsia" w:ascii="宋体" w:hAnsi="宋体" w:eastAsia="宋体" w:cs="宋体"/>
                <w:color w:val="auto"/>
                <w:sz w:val="28"/>
                <w:szCs w:val="28"/>
                <w:highlight w:val="none"/>
              </w:rPr>
            </w:pPr>
          </w:p>
        </w:tc>
        <w:tc>
          <w:tcPr>
            <w:tcW w:w="1177" w:type="dxa"/>
            <w:noWrap w:val="0"/>
            <w:vAlign w:val="center"/>
          </w:tcPr>
          <w:p w14:paraId="4F6C6DBB">
            <w:pPr>
              <w:jc w:val="center"/>
              <w:rPr>
                <w:rFonts w:hint="eastAsia" w:ascii="宋体" w:hAnsi="宋体" w:eastAsia="宋体" w:cs="宋体"/>
                <w:color w:val="auto"/>
                <w:sz w:val="28"/>
                <w:szCs w:val="28"/>
                <w:highlight w:val="none"/>
              </w:rPr>
            </w:pPr>
          </w:p>
        </w:tc>
        <w:tc>
          <w:tcPr>
            <w:tcW w:w="970" w:type="dxa"/>
            <w:noWrap w:val="0"/>
            <w:vAlign w:val="center"/>
          </w:tcPr>
          <w:p w14:paraId="7C0F346B">
            <w:pPr>
              <w:jc w:val="center"/>
              <w:rPr>
                <w:rFonts w:hint="eastAsia" w:ascii="宋体" w:hAnsi="宋体" w:eastAsia="宋体" w:cs="宋体"/>
                <w:color w:val="auto"/>
                <w:sz w:val="28"/>
                <w:szCs w:val="28"/>
                <w:highlight w:val="none"/>
              </w:rPr>
            </w:pPr>
          </w:p>
        </w:tc>
        <w:tc>
          <w:tcPr>
            <w:tcW w:w="2296" w:type="dxa"/>
            <w:noWrap w:val="0"/>
            <w:vAlign w:val="center"/>
          </w:tcPr>
          <w:p w14:paraId="4BEF27F8">
            <w:pPr>
              <w:jc w:val="center"/>
              <w:rPr>
                <w:rFonts w:hint="eastAsia" w:ascii="宋体" w:hAnsi="宋体" w:eastAsia="宋体" w:cs="宋体"/>
                <w:color w:val="auto"/>
                <w:sz w:val="28"/>
                <w:szCs w:val="28"/>
                <w:highlight w:val="none"/>
              </w:rPr>
            </w:pPr>
          </w:p>
        </w:tc>
        <w:tc>
          <w:tcPr>
            <w:tcW w:w="861" w:type="dxa"/>
            <w:noWrap w:val="0"/>
            <w:vAlign w:val="center"/>
          </w:tcPr>
          <w:p w14:paraId="2619A402">
            <w:pPr>
              <w:jc w:val="center"/>
              <w:rPr>
                <w:rFonts w:hint="eastAsia" w:ascii="宋体" w:hAnsi="宋体" w:eastAsia="宋体" w:cs="宋体"/>
                <w:color w:val="auto"/>
                <w:sz w:val="28"/>
                <w:szCs w:val="28"/>
                <w:highlight w:val="none"/>
              </w:rPr>
            </w:pPr>
          </w:p>
        </w:tc>
      </w:tr>
      <w:tr w14:paraId="327D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top"/>
          </w:tcPr>
          <w:p w14:paraId="64C2A8A6">
            <w:pPr>
              <w:rPr>
                <w:rFonts w:hint="eastAsia" w:ascii="宋体" w:hAnsi="宋体" w:eastAsia="宋体" w:cs="宋体"/>
                <w:color w:val="auto"/>
                <w:sz w:val="28"/>
                <w:szCs w:val="28"/>
                <w:highlight w:val="none"/>
              </w:rPr>
            </w:pPr>
          </w:p>
        </w:tc>
        <w:tc>
          <w:tcPr>
            <w:tcW w:w="1351" w:type="dxa"/>
            <w:noWrap w:val="0"/>
            <w:vAlign w:val="top"/>
          </w:tcPr>
          <w:p w14:paraId="44AFC71F">
            <w:pPr>
              <w:rPr>
                <w:rFonts w:hint="eastAsia" w:ascii="宋体" w:hAnsi="宋体" w:eastAsia="宋体" w:cs="宋体"/>
                <w:color w:val="auto"/>
                <w:sz w:val="28"/>
                <w:szCs w:val="28"/>
                <w:highlight w:val="none"/>
              </w:rPr>
            </w:pPr>
          </w:p>
        </w:tc>
        <w:tc>
          <w:tcPr>
            <w:tcW w:w="574" w:type="dxa"/>
            <w:noWrap w:val="0"/>
            <w:vAlign w:val="top"/>
          </w:tcPr>
          <w:p w14:paraId="560A6217">
            <w:pPr>
              <w:rPr>
                <w:rFonts w:hint="eastAsia" w:ascii="宋体" w:hAnsi="宋体" w:eastAsia="宋体" w:cs="宋体"/>
                <w:color w:val="auto"/>
                <w:sz w:val="28"/>
                <w:szCs w:val="28"/>
                <w:highlight w:val="none"/>
              </w:rPr>
            </w:pPr>
          </w:p>
        </w:tc>
        <w:tc>
          <w:tcPr>
            <w:tcW w:w="723" w:type="dxa"/>
            <w:noWrap w:val="0"/>
            <w:vAlign w:val="top"/>
          </w:tcPr>
          <w:p w14:paraId="77EE0D8D">
            <w:pPr>
              <w:rPr>
                <w:rFonts w:hint="eastAsia" w:ascii="宋体" w:hAnsi="宋体" w:eastAsia="宋体" w:cs="宋体"/>
                <w:color w:val="auto"/>
                <w:sz w:val="28"/>
                <w:szCs w:val="28"/>
                <w:highlight w:val="none"/>
              </w:rPr>
            </w:pPr>
          </w:p>
        </w:tc>
        <w:tc>
          <w:tcPr>
            <w:tcW w:w="1177" w:type="dxa"/>
            <w:noWrap w:val="0"/>
            <w:vAlign w:val="top"/>
          </w:tcPr>
          <w:p w14:paraId="13F9C184">
            <w:pPr>
              <w:rPr>
                <w:rFonts w:hint="eastAsia" w:ascii="宋体" w:hAnsi="宋体" w:eastAsia="宋体" w:cs="宋体"/>
                <w:color w:val="auto"/>
                <w:sz w:val="28"/>
                <w:szCs w:val="28"/>
                <w:highlight w:val="none"/>
              </w:rPr>
            </w:pPr>
          </w:p>
        </w:tc>
        <w:tc>
          <w:tcPr>
            <w:tcW w:w="970" w:type="dxa"/>
            <w:noWrap w:val="0"/>
            <w:vAlign w:val="top"/>
          </w:tcPr>
          <w:p w14:paraId="77AA342C">
            <w:pPr>
              <w:rPr>
                <w:rFonts w:hint="eastAsia" w:ascii="宋体" w:hAnsi="宋体" w:eastAsia="宋体" w:cs="宋体"/>
                <w:color w:val="auto"/>
                <w:sz w:val="28"/>
                <w:szCs w:val="28"/>
                <w:highlight w:val="none"/>
              </w:rPr>
            </w:pPr>
          </w:p>
        </w:tc>
        <w:tc>
          <w:tcPr>
            <w:tcW w:w="2296" w:type="dxa"/>
            <w:noWrap w:val="0"/>
            <w:vAlign w:val="top"/>
          </w:tcPr>
          <w:p w14:paraId="76A916AA">
            <w:pPr>
              <w:rPr>
                <w:rFonts w:hint="eastAsia" w:ascii="宋体" w:hAnsi="宋体" w:eastAsia="宋体" w:cs="宋体"/>
                <w:color w:val="auto"/>
                <w:sz w:val="28"/>
                <w:szCs w:val="28"/>
                <w:highlight w:val="none"/>
              </w:rPr>
            </w:pPr>
          </w:p>
        </w:tc>
        <w:tc>
          <w:tcPr>
            <w:tcW w:w="861" w:type="dxa"/>
            <w:noWrap w:val="0"/>
            <w:vAlign w:val="top"/>
          </w:tcPr>
          <w:p w14:paraId="24D96061">
            <w:pPr>
              <w:rPr>
                <w:rFonts w:hint="eastAsia" w:ascii="宋体" w:hAnsi="宋体" w:eastAsia="宋体" w:cs="宋体"/>
                <w:color w:val="auto"/>
                <w:sz w:val="28"/>
                <w:szCs w:val="28"/>
                <w:highlight w:val="none"/>
              </w:rPr>
            </w:pPr>
          </w:p>
        </w:tc>
      </w:tr>
      <w:tr w14:paraId="11F5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top"/>
          </w:tcPr>
          <w:p w14:paraId="62F7117F">
            <w:pPr>
              <w:rPr>
                <w:rFonts w:hint="eastAsia" w:ascii="宋体" w:hAnsi="宋体" w:eastAsia="宋体" w:cs="宋体"/>
                <w:color w:val="auto"/>
                <w:sz w:val="28"/>
                <w:szCs w:val="28"/>
                <w:highlight w:val="none"/>
              </w:rPr>
            </w:pPr>
          </w:p>
        </w:tc>
        <w:tc>
          <w:tcPr>
            <w:tcW w:w="1351" w:type="dxa"/>
            <w:noWrap w:val="0"/>
            <w:vAlign w:val="top"/>
          </w:tcPr>
          <w:p w14:paraId="3C8B4F50">
            <w:pPr>
              <w:rPr>
                <w:rFonts w:hint="eastAsia" w:ascii="宋体" w:hAnsi="宋体" w:eastAsia="宋体" w:cs="宋体"/>
                <w:color w:val="auto"/>
                <w:sz w:val="28"/>
                <w:szCs w:val="28"/>
                <w:highlight w:val="none"/>
              </w:rPr>
            </w:pPr>
          </w:p>
        </w:tc>
        <w:tc>
          <w:tcPr>
            <w:tcW w:w="574" w:type="dxa"/>
            <w:noWrap w:val="0"/>
            <w:vAlign w:val="top"/>
          </w:tcPr>
          <w:p w14:paraId="0C174313">
            <w:pPr>
              <w:rPr>
                <w:rFonts w:hint="eastAsia" w:ascii="宋体" w:hAnsi="宋体" w:eastAsia="宋体" w:cs="宋体"/>
                <w:color w:val="auto"/>
                <w:sz w:val="28"/>
                <w:szCs w:val="28"/>
                <w:highlight w:val="none"/>
              </w:rPr>
            </w:pPr>
          </w:p>
        </w:tc>
        <w:tc>
          <w:tcPr>
            <w:tcW w:w="723" w:type="dxa"/>
            <w:noWrap w:val="0"/>
            <w:vAlign w:val="top"/>
          </w:tcPr>
          <w:p w14:paraId="1793A07A">
            <w:pPr>
              <w:rPr>
                <w:rFonts w:hint="eastAsia" w:ascii="宋体" w:hAnsi="宋体" w:eastAsia="宋体" w:cs="宋体"/>
                <w:color w:val="auto"/>
                <w:sz w:val="28"/>
                <w:szCs w:val="28"/>
                <w:highlight w:val="none"/>
              </w:rPr>
            </w:pPr>
          </w:p>
        </w:tc>
        <w:tc>
          <w:tcPr>
            <w:tcW w:w="1177" w:type="dxa"/>
            <w:noWrap w:val="0"/>
            <w:vAlign w:val="top"/>
          </w:tcPr>
          <w:p w14:paraId="3F894656">
            <w:pPr>
              <w:rPr>
                <w:rFonts w:hint="eastAsia" w:ascii="宋体" w:hAnsi="宋体" w:eastAsia="宋体" w:cs="宋体"/>
                <w:color w:val="auto"/>
                <w:sz w:val="28"/>
                <w:szCs w:val="28"/>
                <w:highlight w:val="none"/>
              </w:rPr>
            </w:pPr>
          </w:p>
        </w:tc>
        <w:tc>
          <w:tcPr>
            <w:tcW w:w="970" w:type="dxa"/>
            <w:noWrap w:val="0"/>
            <w:vAlign w:val="top"/>
          </w:tcPr>
          <w:p w14:paraId="4FC6C135">
            <w:pPr>
              <w:rPr>
                <w:rFonts w:hint="eastAsia" w:ascii="宋体" w:hAnsi="宋体" w:eastAsia="宋体" w:cs="宋体"/>
                <w:color w:val="auto"/>
                <w:sz w:val="28"/>
                <w:szCs w:val="28"/>
                <w:highlight w:val="none"/>
              </w:rPr>
            </w:pPr>
          </w:p>
        </w:tc>
        <w:tc>
          <w:tcPr>
            <w:tcW w:w="2296" w:type="dxa"/>
            <w:noWrap w:val="0"/>
            <w:vAlign w:val="top"/>
          </w:tcPr>
          <w:p w14:paraId="50867B86">
            <w:pPr>
              <w:rPr>
                <w:rFonts w:hint="eastAsia" w:ascii="宋体" w:hAnsi="宋体" w:eastAsia="宋体" w:cs="宋体"/>
                <w:color w:val="auto"/>
                <w:sz w:val="28"/>
                <w:szCs w:val="28"/>
                <w:highlight w:val="none"/>
              </w:rPr>
            </w:pPr>
          </w:p>
        </w:tc>
        <w:tc>
          <w:tcPr>
            <w:tcW w:w="861" w:type="dxa"/>
            <w:noWrap w:val="0"/>
            <w:vAlign w:val="top"/>
          </w:tcPr>
          <w:p w14:paraId="3A309997">
            <w:pPr>
              <w:rPr>
                <w:rFonts w:hint="eastAsia" w:ascii="宋体" w:hAnsi="宋体" w:eastAsia="宋体" w:cs="宋体"/>
                <w:color w:val="auto"/>
                <w:sz w:val="28"/>
                <w:szCs w:val="28"/>
                <w:highlight w:val="none"/>
              </w:rPr>
            </w:pPr>
          </w:p>
        </w:tc>
      </w:tr>
      <w:tr w14:paraId="5416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top"/>
          </w:tcPr>
          <w:p w14:paraId="54A1C1DC">
            <w:pPr>
              <w:rPr>
                <w:rFonts w:hint="eastAsia" w:ascii="宋体" w:hAnsi="宋体" w:eastAsia="宋体" w:cs="宋体"/>
                <w:color w:val="auto"/>
                <w:sz w:val="28"/>
                <w:szCs w:val="28"/>
                <w:highlight w:val="none"/>
              </w:rPr>
            </w:pPr>
          </w:p>
        </w:tc>
        <w:tc>
          <w:tcPr>
            <w:tcW w:w="1351" w:type="dxa"/>
            <w:noWrap w:val="0"/>
            <w:vAlign w:val="top"/>
          </w:tcPr>
          <w:p w14:paraId="67C028CD">
            <w:pPr>
              <w:rPr>
                <w:rFonts w:hint="eastAsia" w:ascii="宋体" w:hAnsi="宋体" w:eastAsia="宋体" w:cs="宋体"/>
                <w:color w:val="auto"/>
                <w:sz w:val="28"/>
                <w:szCs w:val="28"/>
                <w:highlight w:val="none"/>
              </w:rPr>
            </w:pPr>
          </w:p>
        </w:tc>
        <w:tc>
          <w:tcPr>
            <w:tcW w:w="574" w:type="dxa"/>
            <w:noWrap w:val="0"/>
            <w:vAlign w:val="top"/>
          </w:tcPr>
          <w:p w14:paraId="754E4F1F">
            <w:pPr>
              <w:rPr>
                <w:rFonts w:hint="eastAsia" w:ascii="宋体" w:hAnsi="宋体" w:eastAsia="宋体" w:cs="宋体"/>
                <w:color w:val="auto"/>
                <w:sz w:val="28"/>
                <w:szCs w:val="28"/>
                <w:highlight w:val="none"/>
              </w:rPr>
            </w:pPr>
          </w:p>
        </w:tc>
        <w:tc>
          <w:tcPr>
            <w:tcW w:w="723" w:type="dxa"/>
            <w:noWrap w:val="0"/>
            <w:vAlign w:val="top"/>
          </w:tcPr>
          <w:p w14:paraId="100D13BD">
            <w:pPr>
              <w:rPr>
                <w:rFonts w:hint="eastAsia" w:ascii="宋体" w:hAnsi="宋体" w:eastAsia="宋体" w:cs="宋体"/>
                <w:color w:val="auto"/>
                <w:sz w:val="28"/>
                <w:szCs w:val="28"/>
                <w:highlight w:val="none"/>
              </w:rPr>
            </w:pPr>
          </w:p>
        </w:tc>
        <w:tc>
          <w:tcPr>
            <w:tcW w:w="1177" w:type="dxa"/>
            <w:noWrap w:val="0"/>
            <w:vAlign w:val="top"/>
          </w:tcPr>
          <w:p w14:paraId="6CA99F3B">
            <w:pPr>
              <w:rPr>
                <w:rFonts w:hint="eastAsia" w:ascii="宋体" w:hAnsi="宋体" w:eastAsia="宋体" w:cs="宋体"/>
                <w:color w:val="auto"/>
                <w:sz w:val="28"/>
                <w:szCs w:val="28"/>
                <w:highlight w:val="none"/>
              </w:rPr>
            </w:pPr>
          </w:p>
        </w:tc>
        <w:tc>
          <w:tcPr>
            <w:tcW w:w="970" w:type="dxa"/>
            <w:noWrap w:val="0"/>
            <w:vAlign w:val="top"/>
          </w:tcPr>
          <w:p w14:paraId="02DAD16E">
            <w:pPr>
              <w:pStyle w:val="66"/>
              <w:rPr>
                <w:rFonts w:hint="eastAsia" w:ascii="宋体" w:hAnsi="宋体" w:eastAsia="宋体" w:cs="宋体"/>
                <w:color w:val="auto"/>
                <w:sz w:val="28"/>
                <w:szCs w:val="28"/>
                <w:highlight w:val="none"/>
              </w:rPr>
            </w:pPr>
          </w:p>
        </w:tc>
        <w:tc>
          <w:tcPr>
            <w:tcW w:w="2296" w:type="dxa"/>
            <w:noWrap w:val="0"/>
            <w:vAlign w:val="top"/>
          </w:tcPr>
          <w:p w14:paraId="67B36664">
            <w:pPr>
              <w:rPr>
                <w:rFonts w:hint="eastAsia" w:ascii="宋体" w:hAnsi="宋体" w:eastAsia="宋体" w:cs="宋体"/>
                <w:color w:val="auto"/>
                <w:sz w:val="28"/>
                <w:szCs w:val="28"/>
                <w:highlight w:val="none"/>
              </w:rPr>
            </w:pPr>
          </w:p>
        </w:tc>
        <w:tc>
          <w:tcPr>
            <w:tcW w:w="861" w:type="dxa"/>
            <w:noWrap w:val="0"/>
            <w:vAlign w:val="top"/>
          </w:tcPr>
          <w:p w14:paraId="16B1B84E">
            <w:pPr>
              <w:rPr>
                <w:rFonts w:hint="eastAsia" w:ascii="宋体" w:hAnsi="宋体" w:eastAsia="宋体" w:cs="宋体"/>
                <w:color w:val="auto"/>
                <w:sz w:val="28"/>
                <w:szCs w:val="28"/>
                <w:highlight w:val="none"/>
              </w:rPr>
            </w:pPr>
          </w:p>
        </w:tc>
      </w:tr>
      <w:tr w14:paraId="7DFD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627" w:type="dxa"/>
            <w:noWrap w:val="0"/>
            <w:vAlign w:val="top"/>
          </w:tcPr>
          <w:p w14:paraId="2103D63A">
            <w:pPr>
              <w:rPr>
                <w:rFonts w:hint="eastAsia" w:ascii="宋体" w:hAnsi="宋体" w:eastAsia="宋体" w:cs="宋体"/>
                <w:color w:val="auto"/>
                <w:sz w:val="28"/>
                <w:szCs w:val="28"/>
                <w:highlight w:val="none"/>
              </w:rPr>
            </w:pPr>
          </w:p>
        </w:tc>
        <w:tc>
          <w:tcPr>
            <w:tcW w:w="1351" w:type="dxa"/>
            <w:noWrap w:val="0"/>
            <w:vAlign w:val="top"/>
          </w:tcPr>
          <w:p w14:paraId="4C5AC86D">
            <w:pPr>
              <w:rPr>
                <w:rFonts w:hint="eastAsia" w:ascii="宋体" w:hAnsi="宋体" w:eastAsia="宋体" w:cs="宋体"/>
                <w:color w:val="auto"/>
                <w:sz w:val="28"/>
                <w:szCs w:val="28"/>
                <w:highlight w:val="none"/>
              </w:rPr>
            </w:pPr>
          </w:p>
        </w:tc>
        <w:tc>
          <w:tcPr>
            <w:tcW w:w="574" w:type="dxa"/>
            <w:noWrap w:val="0"/>
            <w:vAlign w:val="top"/>
          </w:tcPr>
          <w:p w14:paraId="54100E23">
            <w:pPr>
              <w:rPr>
                <w:rFonts w:hint="eastAsia" w:ascii="宋体" w:hAnsi="宋体" w:eastAsia="宋体" w:cs="宋体"/>
                <w:color w:val="auto"/>
                <w:sz w:val="28"/>
                <w:szCs w:val="28"/>
                <w:highlight w:val="none"/>
              </w:rPr>
            </w:pPr>
          </w:p>
        </w:tc>
        <w:tc>
          <w:tcPr>
            <w:tcW w:w="723" w:type="dxa"/>
            <w:noWrap w:val="0"/>
            <w:vAlign w:val="top"/>
          </w:tcPr>
          <w:p w14:paraId="33C4EB97">
            <w:pPr>
              <w:rPr>
                <w:rFonts w:hint="eastAsia" w:ascii="宋体" w:hAnsi="宋体" w:eastAsia="宋体" w:cs="宋体"/>
                <w:color w:val="auto"/>
                <w:sz w:val="28"/>
                <w:szCs w:val="28"/>
                <w:highlight w:val="none"/>
              </w:rPr>
            </w:pPr>
          </w:p>
        </w:tc>
        <w:tc>
          <w:tcPr>
            <w:tcW w:w="1177" w:type="dxa"/>
            <w:noWrap w:val="0"/>
            <w:vAlign w:val="top"/>
          </w:tcPr>
          <w:p w14:paraId="523BFE2A">
            <w:pPr>
              <w:rPr>
                <w:rFonts w:hint="eastAsia" w:ascii="宋体" w:hAnsi="宋体" w:eastAsia="宋体" w:cs="宋体"/>
                <w:color w:val="auto"/>
                <w:sz w:val="28"/>
                <w:szCs w:val="28"/>
                <w:highlight w:val="none"/>
              </w:rPr>
            </w:pPr>
          </w:p>
        </w:tc>
        <w:tc>
          <w:tcPr>
            <w:tcW w:w="970" w:type="dxa"/>
            <w:noWrap w:val="0"/>
            <w:vAlign w:val="top"/>
          </w:tcPr>
          <w:p w14:paraId="1F831C41">
            <w:pPr>
              <w:pStyle w:val="66"/>
              <w:rPr>
                <w:rFonts w:hint="eastAsia" w:ascii="宋体" w:hAnsi="宋体" w:eastAsia="宋体" w:cs="宋体"/>
                <w:color w:val="auto"/>
                <w:sz w:val="28"/>
                <w:szCs w:val="28"/>
                <w:highlight w:val="none"/>
              </w:rPr>
            </w:pPr>
          </w:p>
        </w:tc>
        <w:tc>
          <w:tcPr>
            <w:tcW w:w="2296" w:type="dxa"/>
            <w:noWrap w:val="0"/>
            <w:vAlign w:val="top"/>
          </w:tcPr>
          <w:p w14:paraId="0DE85222">
            <w:pPr>
              <w:rPr>
                <w:rFonts w:hint="eastAsia" w:ascii="宋体" w:hAnsi="宋体" w:eastAsia="宋体" w:cs="宋体"/>
                <w:color w:val="auto"/>
                <w:sz w:val="28"/>
                <w:szCs w:val="28"/>
                <w:highlight w:val="none"/>
              </w:rPr>
            </w:pPr>
          </w:p>
        </w:tc>
        <w:tc>
          <w:tcPr>
            <w:tcW w:w="861" w:type="dxa"/>
            <w:noWrap w:val="0"/>
            <w:vAlign w:val="top"/>
          </w:tcPr>
          <w:p w14:paraId="5E4F776F">
            <w:pPr>
              <w:rPr>
                <w:rFonts w:hint="eastAsia" w:ascii="宋体" w:hAnsi="宋体" w:eastAsia="宋体" w:cs="宋体"/>
                <w:color w:val="auto"/>
                <w:sz w:val="28"/>
                <w:szCs w:val="28"/>
                <w:highlight w:val="none"/>
              </w:rPr>
            </w:pPr>
          </w:p>
        </w:tc>
      </w:tr>
    </w:tbl>
    <w:p w14:paraId="61282787">
      <w:pPr>
        <w:rPr>
          <w:rFonts w:hint="eastAsia" w:ascii="宋体" w:hAnsi="宋体" w:eastAsia="宋体"/>
          <w:color w:val="auto"/>
          <w:sz w:val="28"/>
          <w:szCs w:val="28"/>
          <w:highlight w:val="none"/>
        </w:rPr>
      </w:pPr>
    </w:p>
    <w:p w14:paraId="5F6CD4C7">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法定代表人（签字或盖章）：     </w:t>
      </w:r>
    </w:p>
    <w:p w14:paraId="191CCDB8">
      <w:pPr>
        <w:rPr>
          <w:rFonts w:hint="eastAsia" w:ascii="宋体" w:hAnsi="宋体" w:eastAsia="宋体"/>
          <w:color w:val="auto"/>
          <w:sz w:val="28"/>
          <w:szCs w:val="28"/>
          <w:highlight w:val="none"/>
        </w:rPr>
      </w:pPr>
    </w:p>
    <w:p w14:paraId="5568BD54">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投标人（盖章）：</w:t>
      </w:r>
    </w:p>
    <w:p w14:paraId="5A0F83BD">
      <w:pPr>
        <w:jc w:val="right"/>
        <w:rPr>
          <w:rFonts w:hint="eastAsia" w:ascii="宋体" w:hAnsi="宋体" w:eastAsia="宋体"/>
          <w:color w:val="auto"/>
          <w:sz w:val="28"/>
          <w:szCs w:val="28"/>
          <w:highlight w:val="none"/>
        </w:rPr>
      </w:pPr>
    </w:p>
    <w:p w14:paraId="09BBFA08">
      <w:pPr>
        <w:pStyle w:val="27"/>
        <w:ind w:firstLine="6020" w:firstLineChars="2150"/>
        <w:rPr>
          <w:rFonts w:hint="eastAsia" w:eastAsia="宋体"/>
          <w:color w:val="auto"/>
          <w:highlight w:val="none"/>
        </w:rPr>
      </w:pPr>
      <w:r>
        <w:rPr>
          <w:rFonts w:hint="eastAsia" w:eastAsia="宋体"/>
          <w:color w:val="auto"/>
          <w:highlight w:val="none"/>
        </w:rPr>
        <w:t>日期：   年   月   日</w:t>
      </w:r>
    </w:p>
    <w:p w14:paraId="6643EAEF">
      <w:pPr>
        <w:rPr>
          <w:rFonts w:hint="eastAsia" w:eastAsia="宋体"/>
          <w:color w:val="auto"/>
          <w:sz w:val="28"/>
          <w:highlight w:val="none"/>
        </w:rPr>
      </w:pPr>
    </w:p>
    <w:p w14:paraId="2F24A83E">
      <w:pPr>
        <w:pStyle w:val="42"/>
        <w:rPr>
          <w:rFonts w:hint="eastAsia"/>
          <w:color w:val="auto"/>
          <w:sz w:val="28"/>
          <w:highlight w:val="none"/>
        </w:rPr>
      </w:pPr>
    </w:p>
    <w:p w14:paraId="1924EAAB">
      <w:pPr>
        <w:rPr>
          <w:rFonts w:hint="eastAsia" w:eastAsia="宋体"/>
          <w:color w:val="auto"/>
          <w:sz w:val="28"/>
          <w:highlight w:val="none"/>
        </w:rPr>
      </w:pPr>
    </w:p>
    <w:p w14:paraId="54F1993E">
      <w:pPr>
        <w:pStyle w:val="42"/>
        <w:rPr>
          <w:rFonts w:hint="eastAsia"/>
          <w:color w:val="auto"/>
          <w:sz w:val="28"/>
          <w:highlight w:val="none"/>
        </w:rPr>
      </w:pPr>
    </w:p>
    <w:p w14:paraId="053DA099">
      <w:pPr>
        <w:rPr>
          <w:rFonts w:hint="eastAsia" w:eastAsia="宋体"/>
          <w:color w:val="auto"/>
          <w:sz w:val="28"/>
          <w:highlight w:val="none"/>
        </w:rPr>
      </w:pPr>
    </w:p>
    <w:p w14:paraId="037F1FAA">
      <w:pPr>
        <w:pStyle w:val="42"/>
        <w:rPr>
          <w:rFonts w:hint="eastAsia"/>
          <w:color w:val="auto"/>
          <w:highlight w:val="none"/>
        </w:rPr>
      </w:pPr>
    </w:p>
    <w:p w14:paraId="121D5120">
      <w:pPr>
        <w:pStyle w:val="42"/>
        <w:jc w:val="both"/>
        <w:rPr>
          <w:rFonts w:hint="eastAsia"/>
          <w:b w:val="0"/>
          <w:bCs w:val="0"/>
          <w:color w:val="auto"/>
          <w:sz w:val="28"/>
          <w:szCs w:val="28"/>
          <w:highlight w:val="none"/>
        </w:rPr>
      </w:pPr>
      <w:bookmarkStart w:id="725" w:name="_Toc169487825"/>
    </w:p>
    <w:p w14:paraId="3DB600DF">
      <w:pPr>
        <w:adjustRightInd w:val="0"/>
        <w:snapToGrid w:val="0"/>
        <w:spacing w:line="480" w:lineRule="auto"/>
        <w:jc w:val="center"/>
        <w:rPr>
          <w:rFonts w:hint="eastAsia" w:eastAsia="宋体"/>
          <w:b/>
          <w:color w:val="auto"/>
          <w:szCs w:val="32"/>
          <w:highlight w:val="none"/>
          <w:lang w:eastAsia="zh-CN"/>
        </w:rPr>
      </w:pPr>
    </w:p>
    <w:p w14:paraId="44A2F650">
      <w:pPr>
        <w:pStyle w:val="42"/>
        <w:jc w:val="both"/>
        <w:rPr>
          <w:rFonts w:hint="eastAsia"/>
          <w:b w:val="0"/>
          <w:bCs w:val="0"/>
          <w:color w:val="auto"/>
          <w:sz w:val="28"/>
          <w:szCs w:val="28"/>
          <w:highlight w:val="none"/>
        </w:rPr>
      </w:pPr>
      <w:r>
        <w:rPr>
          <w:rFonts w:hint="eastAsia"/>
          <w:b w:val="0"/>
          <w:bCs w:val="0"/>
          <w:color w:val="auto"/>
          <w:sz w:val="28"/>
          <w:szCs w:val="28"/>
          <w:highlight w:val="none"/>
        </w:rPr>
        <w:t>附件四：</w:t>
      </w:r>
    </w:p>
    <w:p w14:paraId="09CF0407">
      <w:pPr>
        <w:adjustRightInd w:val="0"/>
        <w:snapToGrid w:val="0"/>
        <w:spacing w:line="480" w:lineRule="auto"/>
        <w:jc w:val="center"/>
        <w:rPr>
          <w:rFonts w:hint="eastAsia" w:ascii="宋体" w:hAnsi="宋体" w:eastAsia="宋体"/>
          <w:bCs/>
          <w:color w:val="auto"/>
          <w:sz w:val="30"/>
          <w:highlight w:val="none"/>
        </w:rPr>
      </w:pPr>
      <w:r>
        <w:rPr>
          <w:rFonts w:hint="eastAsia" w:eastAsia="宋体"/>
          <w:b/>
          <w:color w:val="auto"/>
          <w:szCs w:val="32"/>
          <w:highlight w:val="none"/>
          <w:lang w:eastAsia="zh-CN"/>
        </w:rPr>
        <w:t>天和大厦钢结构除锈工程</w:t>
      </w:r>
      <w:r>
        <w:rPr>
          <w:rFonts w:hint="eastAsia" w:eastAsia="宋体"/>
          <w:bCs/>
          <w:color w:val="auto"/>
          <w:sz w:val="30"/>
          <w:highlight w:val="none"/>
        </w:rPr>
        <w:t xml:space="preserve">   </w:t>
      </w:r>
    </w:p>
    <w:p w14:paraId="03AA73AC">
      <w:pPr>
        <w:adjustRightInd w:val="0"/>
        <w:snapToGrid w:val="0"/>
        <w:spacing w:line="480" w:lineRule="auto"/>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项目</w:t>
      </w:r>
      <w:r>
        <w:rPr>
          <w:rFonts w:hint="eastAsia" w:ascii="宋体" w:hAnsi="宋体" w:eastAsia="宋体"/>
          <w:b/>
          <w:bCs/>
          <w:color w:val="auto"/>
          <w:sz w:val="28"/>
          <w:szCs w:val="28"/>
          <w:highlight w:val="none"/>
          <w:lang w:val="en-US" w:eastAsia="zh-CN"/>
        </w:rPr>
        <w:t>实施人员一览</w:t>
      </w:r>
      <w:r>
        <w:rPr>
          <w:rFonts w:hint="eastAsia" w:ascii="宋体" w:hAnsi="宋体" w:eastAsia="宋体"/>
          <w:b/>
          <w:bCs/>
          <w:color w:val="auto"/>
          <w:sz w:val="28"/>
          <w:szCs w:val="28"/>
          <w:highlight w:val="none"/>
        </w:rPr>
        <w:t>表</w:t>
      </w:r>
    </w:p>
    <w:tbl>
      <w:tblPr>
        <w:tblStyle w:val="45"/>
        <w:tblW w:w="9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225"/>
        <w:gridCol w:w="574"/>
        <w:gridCol w:w="723"/>
        <w:gridCol w:w="943"/>
        <w:gridCol w:w="2145"/>
        <w:gridCol w:w="2310"/>
      </w:tblGrid>
      <w:tr w14:paraId="0456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trPr>
        <w:tc>
          <w:tcPr>
            <w:tcW w:w="1753" w:type="dxa"/>
            <w:noWrap w:val="0"/>
            <w:vAlign w:val="center"/>
          </w:tcPr>
          <w:p w14:paraId="67FEF2EA">
            <w:pPr>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岗位名称</w:t>
            </w:r>
          </w:p>
        </w:tc>
        <w:tc>
          <w:tcPr>
            <w:tcW w:w="1225" w:type="dxa"/>
            <w:noWrap w:val="0"/>
            <w:vAlign w:val="center"/>
          </w:tcPr>
          <w:p w14:paraId="2ABAF55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姓名</w:t>
            </w:r>
          </w:p>
        </w:tc>
        <w:tc>
          <w:tcPr>
            <w:tcW w:w="574" w:type="dxa"/>
            <w:noWrap w:val="0"/>
            <w:vAlign w:val="center"/>
          </w:tcPr>
          <w:p w14:paraId="240C73CE">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性别</w:t>
            </w:r>
          </w:p>
        </w:tc>
        <w:tc>
          <w:tcPr>
            <w:tcW w:w="723" w:type="dxa"/>
            <w:noWrap w:val="0"/>
            <w:vAlign w:val="center"/>
          </w:tcPr>
          <w:p w14:paraId="042C62F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年龄</w:t>
            </w:r>
          </w:p>
        </w:tc>
        <w:tc>
          <w:tcPr>
            <w:tcW w:w="943" w:type="dxa"/>
            <w:noWrap w:val="0"/>
            <w:vAlign w:val="center"/>
          </w:tcPr>
          <w:p w14:paraId="7AA0008A">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本岗</w:t>
            </w:r>
          </w:p>
          <w:p w14:paraId="77714DC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工龄</w:t>
            </w:r>
          </w:p>
        </w:tc>
        <w:tc>
          <w:tcPr>
            <w:tcW w:w="2145" w:type="dxa"/>
            <w:noWrap w:val="0"/>
            <w:vAlign w:val="center"/>
          </w:tcPr>
          <w:p w14:paraId="5C28994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特种作业</w:t>
            </w:r>
            <w:r>
              <w:rPr>
                <w:rFonts w:hint="eastAsia" w:ascii="宋体" w:hAnsi="宋体" w:eastAsia="宋体" w:cs="宋体"/>
                <w:b/>
                <w:bCs/>
                <w:color w:val="auto"/>
                <w:sz w:val="24"/>
                <w:szCs w:val="24"/>
                <w:highlight w:val="none"/>
              </w:rPr>
              <w:t>证书号码</w:t>
            </w:r>
          </w:p>
          <w:p w14:paraId="60531B4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身份证号码</w:t>
            </w:r>
          </w:p>
        </w:tc>
        <w:tc>
          <w:tcPr>
            <w:tcW w:w="2310" w:type="dxa"/>
            <w:noWrap w:val="0"/>
            <w:vAlign w:val="center"/>
          </w:tcPr>
          <w:p w14:paraId="5A4FF22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958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3" w:type="dxa"/>
            <w:noWrap w:val="0"/>
            <w:vAlign w:val="center"/>
          </w:tcPr>
          <w:p w14:paraId="1A2FBD0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油漆技工</w:t>
            </w:r>
          </w:p>
        </w:tc>
        <w:tc>
          <w:tcPr>
            <w:tcW w:w="1225" w:type="dxa"/>
            <w:noWrap w:val="0"/>
            <w:vAlign w:val="center"/>
          </w:tcPr>
          <w:p w14:paraId="0AACA21A">
            <w:pPr>
              <w:jc w:val="center"/>
              <w:rPr>
                <w:rFonts w:hint="eastAsia" w:ascii="宋体" w:hAnsi="宋体" w:eastAsia="宋体" w:cs="宋体"/>
                <w:color w:val="auto"/>
                <w:sz w:val="28"/>
                <w:szCs w:val="28"/>
                <w:highlight w:val="none"/>
              </w:rPr>
            </w:pPr>
          </w:p>
        </w:tc>
        <w:tc>
          <w:tcPr>
            <w:tcW w:w="574" w:type="dxa"/>
            <w:noWrap w:val="0"/>
            <w:vAlign w:val="center"/>
          </w:tcPr>
          <w:p w14:paraId="6C77F5DF">
            <w:pPr>
              <w:jc w:val="center"/>
              <w:rPr>
                <w:rFonts w:hint="eastAsia" w:ascii="宋体" w:hAnsi="宋体" w:eastAsia="宋体" w:cs="宋体"/>
                <w:color w:val="auto"/>
                <w:sz w:val="28"/>
                <w:szCs w:val="28"/>
                <w:highlight w:val="none"/>
              </w:rPr>
            </w:pPr>
          </w:p>
        </w:tc>
        <w:tc>
          <w:tcPr>
            <w:tcW w:w="723" w:type="dxa"/>
            <w:noWrap w:val="0"/>
            <w:vAlign w:val="center"/>
          </w:tcPr>
          <w:p w14:paraId="2DD661EE">
            <w:pPr>
              <w:jc w:val="center"/>
              <w:rPr>
                <w:rFonts w:hint="eastAsia" w:ascii="宋体" w:hAnsi="宋体" w:eastAsia="宋体" w:cs="宋体"/>
                <w:color w:val="auto"/>
                <w:sz w:val="28"/>
                <w:szCs w:val="28"/>
                <w:highlight w:val="none"/>
              </w:rPr>
            </w:pPr>
          </w:p>
        </w:tc>
        <w:tc>
          <w:tcPr>
            <w:tcW w:w="943" w:type="dxa"/>
            <w:noWrap w:val="0"/>
            <w:vAlign w:val="center"/>
          </w:tcPr>
          <w:p w14:paraId="67284FB8">
            <w:pPr>
              <w:jc w:val="center"/>
              <w:rPr>
                <w:rFonts w:hint="eastAsia" w:ascii="宋体" w:hAnsi="宋体" w:eastAsia="宋体" w:cs="宋体"/>
                <w:color w:val="auto"/>
                <w:sz w:val="28"/>
                <w:szCs w:val="28"/>
                <w:highlight w:val="none"/>
              </w:rPr>
            </w:pPr>
          </w:p>
        </w:tc>
        <w:tc>
          <w:tcPr>
            <w:tcW w:w="2145" w:type="dxa"/>
            <w:noWrap w:val="0"/>
            <w:vAlign w:val="center"/>
          </w:tcPr>
          <w:p w14:paraId="09CA5F6A">
            <w:pPr>
              <w:jc w:val="center"/>
              <w:rPr>
                <w:rFonts w:hint="eastAsia" w:ascii="宋体" w:hAnsi="宋体" w:eastAsia="宋体" w:cs="宋体"/>
                <w:color w:val="auto"/>
                <w:sz w:val="28"/>
                <w:szCs w:val="28"/>
                <w:highlight w:val="none"/>
              </w:rPr>
            </w:pPr>
          </w:p>
        </w:tc>
        <w:tc>
          <w:tcPr>
            <w:tcW w:w="2310" w:type="dxa"/>
            <w:noWrap w:val="0"/>
            <w:vAlign w:val="center"/>
          </w:tcPr>
          <w:p w14:paraId="73A41105">
            <w:pPr>
              <w:keepNext w:val="0"/>
              <w:keepLines w:val="0"/>
              <w:pageBreakBefore w:val="0"/>
              <w:widowControl w:val="0"/>
              <w:kinsoku/>
              <w:wordWrap/>
              <w:overflowPunct/>
              <w:topLinePunct w:val="0"/>
              <w:autoSpaceDE/>
              <w:autoSpaceDN/>
              <w:bidi w:val="0"/>
              <w:adjustRightInd/>
              <w:snapToGrid/>
              <w:spacing w:before="219" w:beforeLines="50"/>
              <w:textAlignment w:val="auto"/>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至少配备3人，否则作无效标处理。</w:t>
            </w:r>
          </w:p>
          <w:p w14:paraId="065F32E3">
            <w:pPr>
              <w:jc w:val="center"/>
              <w:rPr>
                <w:rFonts w:hint="eastAsia" w:ascii="宋体" w:hAnsi="宋体" w:eastAsia="宋体" w:cs="宋体"/>
                <w:b/>
                <w:bCs/>
                <w:color w:val="auto"/>
                <w:sz w:val="24"/>
                <w:szCs w:val="24"/>
                <w:highlight w:val="none"/>
              </w:rPr>
            </w:pPr>
          </w:p>
        </w:tc>
      </w:tr>
      <w:tr w14:paraId="3C3B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3" w:type="dxa"/>
            <w:noWrap w:val="0"/>
            <w:vAlign w:val="center"/>
          </w:tcPr>
          <w:p w14:paraId="49A3C8A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电工</w:t>
            </w:r>
          </w:p>
        </w:tc>
        <w:tc>
          <w:tcPr>
            <w:tcW w:w="1225" w:type="dxa"/>
            <w:noWrap w:val="0"/>
            <w:vAlign w:val="center"/>
          </w:tcPr>
          <w:p w14:paraId="13F0AA44">
            <w:pPr>
              <w:jc w:val="center"/>
              <w:rPr>
                <w:rFonts w:hint="eastAsia" w:ascii="宋体" w:hAnsi="宋体" w:eastAsia="宋体" w:cs="宋体"/>
                <w:color w:val="auto"/>
                <w:sz w:val="28"/>
                <w:szCs w:val="28"/>
                <w:highlight w:val="none"/>
              </w:rPr>
            </w:pPr>
          </w:p>
        </w:tc>
        <w:tc>
          <w:tcPr>
            <w:tcW w:w="574" w:type="dxa"/>
            <w:noWrap w:val="0"/>
            <w:vAlign w:val="center"/>
          </w:tcPr>
          <w:p w14:paraId="463ED7D0">
            <w:pPr>
              <w:jc w:val="center"/>
              <w:rPr>
                <w:rFonts w:hint="eastAsia" w:ascii="宋体" w:hAnsi="宋体" w:eastAsia="宋体" w:cs="宋体"/>
                <w:color w:val="auto"/>
                <w:sz w:val="28"/>
                <w:szCs w:val="28"/>
                <w:highlight w:val="none"/>
              </w:rPr>
            </w:pPr>
          </w:p>
        </w:tc>
        <w:tc>
          <w:tcPr>
            <w:tcW w:w="723" w:type="dxa"/>
            <w:noWrap w:val="0"/>
            <w:vAlign w:val="center"/>
          </w:tcPr>
          <w:p w14:paraId="30867151">
            <w:pPr>
              <w:jc w:val="center"/>
              <w:rPr>
                <w:rFonts w:hint="eastAsia" w:ascii="宋体" w:hAnsi="宋体" w:eastAsia="宋体" w:cs="宋体"/>
                <w:color w:val="auto"/>
                <w:sz w:val="28"/>
                <w:szCs w:val="28"/>
                <w:highlight w:val="none"/>
              </w:rPr>
            </w:pPr>
          </w:p>
        </w:tc>
        <w:tc>
          <w:tcPr>
            <w:tcW w:w="943" w:type="dxa"/>
            <w:noWrap w:val="0"/>
            <w:vAlign w:val="center"/>
          </w:tcPr>
          <w:p w14:paraId="2E966779">
            <w:pPr>
              <w:jc w:val="center"/>
              <w:rPr>
                <w:rFonts w:hint="eastAsia" w:ascii="宋体" w:hAnsi="宋体" w:eastAsia="宋体" w:cs="宋体"/>
                <w:color w:val="auto"/>
                <w:sz w:val="28"/>
                <w:szCs w:val="28"/>
                <w:highlight w:val="none"/>
              </w:rPr>
            </w:pPr>
          </w:p>
        </w:tc>
        <w:tc>
          <w:tcPr>
            <w:tcW w:w="2145" w:type="dxa"/>
            <w:noWrap w:val="0"/>
            <w:vAlign w:val="center"/>
          </w:tcPr>
          <w:p w14:paraId="4FEED4AB">
            <w:pPr>
              <w:jc w:val="center"/>
              <w:rPr>
                <w:rFonts w:hint="eastAsia" w:ascii="宋体" w:hAnsi="宋体" w:eastAsia="宋体" w:cs="宋体"/>
                <w:color w:val="auto"/>
                <w:sz w:val="28"/>
                <w:szCs w:val="28"/>
                <w:highlight w:val="none"/>
              </w:rPr>
            </w:pPr>
          </w:p>
        </w:tc>
        <w:tc>
          <w:tcPr>
            <w:tcW w:w="2310" w:type="dxa"/>
            <w:noWrap w:val="0"/>
            <w:vAlign w:val="center"/>
          </w:tcPr>
          <w:p w14:paraId="654F5CE9">
            <w:pPr>
              <w:keepNext w:val="0"/>
              <w:keepLines w:val="0"/>
              <w:pageBreakBefore w:val="0"/>
              <w:widowControl w:val="0"/>
              <w:kinsoku/>
              <w:wordWrap/>
              <w:overflowPunct/>
              <w:topLinePunct w:val="0"/>
              <w:autoSpaceDE/>
              <w:autoSpaceDN/>
              <w:bidi w:val="0"/>
              <w:adjustRightInd/>
              <w:snapToGrid/>
              <w:spacing w:before="219" w:beforeLines="50"/>
              <w:textAlignment w:val="auto"/>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至少配备1人，否则作无效标处理。</w:t>
            </w:r>
          </w:p>
          <w:p w14:paraId="3709BC01">
            <w:pPr>
              <w:jc w:val="center"/>
              <w:rPr>
                <w:rFonts w:hint="eastAsia" w:ascii="宋体" w:hAnsi="宋体" w:eastAsia="宋体" w:cs="宋体"/>
                <w:b/>
                <w:bCs/>
                <w:color w:val="auto"/>
                <w:sz w:val="24"/>
                <w:szCs w:val="24"/>
                <w:highlight w:val="none"/>
              </w:rPr>
            </w:pPr>
          </w:p>
        </w:tc>
      </w:tr>
      <w:tr w14:paraId="5227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3" w:type="dxa"/>
            <w:noWrap w:val="0"/>
            <w:vAlign w:val="center"/>
          </w:tcPr>
          <w:p w14:paraId="4B96A85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电焊工</w:t>
            </w:r>
          </w:p>
        </w:tc>
        <w:tc>
          <w:tcPr>
            <w:tcW w:w="1225" w:type="dxa"/>
            <w:noWrap w:val="0"/>
            <w:vAlign w:val="center"/>
          </w:tcPr>
          <w:p w14:paraId="798B3D86">
            <w:pPr>
              <w:jc w:val="center"/>
              <w:rPr>
                <w:rFonts w:hint="eastAsia" w:ascii="宋体" w:hAnsi="宋体" w:eastAsia="宋体" w:cs="宋体"/>
                <w:color w:val="auto"/>
                <w:sz w:val="28"/>
                <w:szCs w:val="28"/>
                <w:highlight w:val="none"/>
              </w:rPr>
            </w:pPr>
          </w:p>
        </w:tc>
        <w:tc>
          <w:tcPr>
            <w:tcW w:w="574" w:type="dxa"/>
            <w:noWrap w:val="0"/>
            <w:vAlign w:val="center"/>
          </w:tcPr>
          <w:p w14:paraId="06313B7C">
            <w:pPr>
              <w:jc w:val="center"/>
              <w:rPr>
                <w:rFonts w:hint="eastAsia" w:ascii="宋体" w:hAnsi="宋体" w:eastAsia="宋体" w:cs="宋体"/>
                <w:color w:val="auto"/>
                <w:sz w:val="28"/>
                <w:szCs w:val="28"/>
                <w:highlight w:val="none"/>
              </w:rPr>
            </w:pPr>
          </w:p>
        </w:tc>
        <w:tc>
          <w:tcPr>
            <w:tcW w:w="723" w:type="dxa"/>
            <w:noWrap w:val="0"/>
            <w:vAlign w:val="center"/>
          </w:tcPr>
          <w:p w14:paraId="59544575">
            <w:pPr>
              <w:jc w:val="center"/>
              <w:rPr>
                <w:rFonts w:hint="eastAsia" w:ascii="宋体" w:hAnsi="宋体" w:eastAsia="宋体" w:cs="宋体"/>
                <w:color w:val="auto"/>
                <w:sz w:val="28"/>
                <w:szCs w:val="28"/>
                <w:highlight w:val="none"/>
              </w:rPr>
            </w:pPr>
          </w:p>
        </w:tc>
        <w:tc>
          <w:tcPr>
            <w:tcW w:w="943" w:type="dxa"/>
            <w:noWrap w:val="0"/>
            <w:vAlign w:val="center"/>
          </w:tcPr>
          <w:p w14:paraId="635D86C0">
            <w:pPr>
              <w:jc w:val="center"/>
              <w:rPr>
                <w:rFonts w:hint="eastAsia" w:ascii="宋体" w:hAnsi="宋体" w:eastAsia="宋体" w:cs="宋体"/>
                <w:color w:val="auto"/>
                <w:sz w:val="28"/>
                <w:szCs w:val="28"/>
                <w:highlight w:val="none"/>
              </w:rPr>
            </w:pPr>
          </w:p>
        </w:tc>
        <w:tc>
          <w:tcPr>
            <w:tcW w:w="2145" w:type="dxa"/>
            <w:noWrap w:val="0"/>
            <w:vAlign w:val="center"/>
          </w:tcPr>
          <w:p w14:paraId="7569BCF2">
            <w:pPr>
              <w:jc w:val="center"/>
              <w:rPr>
                <w:rFonts w:hint="eastAsia" w:ascii="宋体" w:hAnsi="宋体" w:eastAsia="宋体" w:cs="宋体"/>
                <w:color w:val="auto"/>
                <w:sz w:val="28"/>
                <w:szCs w:val="28"/>
                <w:highlight w:val="none"/>
              </w:rPr>
            </w:pPr>
          </w:p>
        </w:tc>
        <w:tc>
          <w:tcPr>
            <w:tcW w:w="2310" w:type="dxa"/>
            <w:noWrap w:val="0"/>
            <w:vAlign w:val="center"/>
          </w:tcPr>
          <w:p w14:paraId="12982898">
            <w:pPr>
              <w:keepNext w:val="0"/>
              <w:keepLines w:val="0"/>
              <w:pageBreakBefore w:val="0"/>
              <w:widowControl w:val="0"/>
              <w:kinsoku/>
              <w:wordWrap/>
              <w:overflowPunct/>
              <w:topLinePunct w:val="0"/>
              <w:autoSpaceDE/>
              <w:autoSpaceDN/>
              <w:bidi w:val="0"/>
              <w:adjustRightInd/>
              <w:snapToGrid/>
              <w:spacing w:before="219" w:beforeLines="50"/>
              <w:textAlignment w:val="auto"/>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至少配备1人，否则作无效标处理。</w:t>
            </w:r>
          </w:p>
          <w:p w14:paraId="0B8161B2">
            <w:pPr>
              <w:jc w:val="center"/>
              <w:rPr>
                <w:rFonts w:hint="eastAsia" w:ascii="宋体" w:hAnsi="宋体" w:eastAsia="宋体" w:cs="宋体"/>
                <w:b/>
                <w:bCs/>
                <w:color w:val="auto"/>
                <w:sz w:val="24"/>
                <w:szCs w:val="24"/>
                <w:highlight w:val="none"/>
              </w:rPr>
            </w:pPr>
          </w:p>
        </w:tc>
      </w:tr>
      <w:tr w14:paraId="3C4A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3" w:type="dxa"/>
            <w:noWrap w:val="0"/>
            <w:vAlign w:val="center"/>
          </w:tcPr>
          <w:p w14:paraId="6610D830">
            <w:pPr>
              <w:jc w:val="center"/>
              <w:rPr>
                <w:rFonts w:hint="default" w:ascii="宋体" w:hAnsi="宋体" w:eastAsia="宋体" w:cs="宋体"/>
                <w:color w:val="auto"/>
                <w:sz w:val="28"/>
                <w:szCs w:val="28"/>
                <w:highlight w:val="none"/>
                <w:lang w:val="en-US" w:eastAsia="zh-CN"/>
              </w:rPr>
            </w:pPr>
            <w:r>
              <w:rPr>
                <w:rFonts w:hint="default" w:ascii="Arial" w:hAnsi="Arial" w:eastAsia="宋体" w:cs="Arial"/>
                <w:color w:val="auto"/>
                <w:sz w:val="28"/>
                <w:szCs w:val="28"/>
                <w:highlight w:val="none"/>
                <w:lang w:val="en-US" w:eastAsia="zh-CN"/>
              </w:rPr>
              <w:t>……</w:t>
            </w:r>
          </w:p>
        </w:tc>
        <w:tc>
          <w:tcPr>
            <w:tcW w:w="1225" w:type="dxa"/>
            <w:noWrap w:val="0"/>
            <w:vAlign w:val="center"/>
          </w:tcPr>
          <w:p w14:paraId="7F129919">
            <w:pPr>
              <w:jc w:val="center"/>
              <w:rPr>
                <w:rFonts w:hint="eastAsia" w:ascii="宋体" w:hAnsi="宋体" w:eastAsia="宋体" w:cs="宋体"/>
                <w:color w:val="auto"/>
                <w:sz w:val="28"/>
                <w:szCs w:val="28"/>
                <w:highlight w:val="none"/>
              </w:rPr>
            </w:pPr>
          </w:p>
        </w:tc>
        <w:tc>
          <w:tcPr>
            <w:tcW w:w="574" w:type="dxa"/>
            <w:noWrap w:val="0"/>
            <w:vAlign w:val="center"/>
          </w:tcPr>
          <w:p w14:paraId="6AB67FC2">
            <w:pPr>
              <w:jc w:val="center"/>
              <w:rPr>
                <w:rFonts w:hint="eastAsia" w:ascii="宋体" w:hAnsi="宋体" w:eastAsia="宋体" w:cs="宋体"/>
                <w:color w:val="auto"/>
                <w:sz w:val="28"/>
                <w:szCs w:val="28"/>
                <w:highlight w:val="none"/>
              </w:rPr>
            </w:pPr>
          </w:p>
        </w:tc>
        <w:tc>
          <w:tcPr>
            <w:tcW w:w="723" w:type="dxa"/>
            <w:noWrap w:val="0"/>
            <w:vAlign w:val="center"/>
          </w:tcPr>
          <w:p w14:paraId="302AF74D">
            <w:pPr>
              <w:jc w:val="center"/>
              <w:rPr>
                <w:rFonts w:hint="eastAsia" w:ascii="宋体" w:hAnsi="宋体" w:eastAsia="宋体" w:cs="宋体"/>
                <w:color w:val="auto"/>
                <w:sz w:val="28"/>
                <w:szCs w:val="28"/>
                <w:highlight w:val="none"/>
              </w:rPr>
            </w:pPr>
          </w:p>
        </w:tc>
        <w:tc>
          <w:tcPr>
            <w:tcW w:w="943" w:type="dxa"/>
            <w:noWrap w:val="0"/>
            <w:vAlign w:val="center"/>
          </w:tcPr>
          <w:p w14:paraId="2D21975D">
            <w:pPr>
              <w:jc w:val="center"/>
              <w:rPr>
                <w:rFonts w:hint="eastAsia" w:ascii="宋体" w:hAnsi="宋体" w:eastAsia="宋体" w:cs="宋体"/>
                <w:color w:val="auto"/>
                <w:sz w:val="28"/>
                <w:szCs w:val="28"/>
                <w:highlight w:val="none"/>
              </w:rPr>
            </w:pPr>
          </w:p>
        </w:tc>
        <w:tc>
          <w:tcPr>
            <w:tcW w:w="2145" w:type="dxa"/>
            <w:noWrap w:val="0"/>
            <w:vAlign w:val="center"/>
          </w:tcPr>
          <w:p w14:paraId="76264C1A">
            <w:pPr>
              <w:jc w:val="center"/>
              <w:rPr>
                <w:rFonts w:hint="eastAsia" w:ascii="宋体" w:hAnsi="宋体" w:eastAsia="宋体" w:cs="宋体"/>
                <w:color w:val="auto"/>
                <w:sz w:val="28"/>
                <w:szCs w:val="28"/>
                <w:highlight w:val="none"/>
              </w:rPr>
            </w:pPr>
          </w:p>
        </w:tc>
        <w:tc>
          <w:tcPr>
            <w:tcW w:w="2310" w:type="dxa"/>
            <w:noWrap w:val="0"/>
            <w:vAlign w:val="center"/>
          </w:tcPr>
          <w:p w14:paraId="1536AC88">
            <w:pPr>
              <w:jc w:val="center"/>
              <w:rPr>
                <w:rFonts w:hint="eastAsia" w:ascii="宋体" w:hAnsi="宋体" w:eastAsia="宋体" w:cs="宋体"/>
                <w:b w:val="0"/>
                <w:bCs w:val="0"/>
                <w:color w:val="auto"/>
                <w:sz w:val="24"/>
                <w:szCs w:val="24"/>
                <w:highlight w:val="none"/>
              </w:rPr>
            </w:pPr>
          </w:p>
        </w:tc>
      </w:tr>
      <w:tr w14:paraId="73A8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3" w:type="dxa"/>
            <w:noWrap w:val="0"/>
            <w:vAlign w:val="center"/>
          </w:tcPr>
          <w:p w14:paraId="6C2DAD89">
            <w:pPr>
              <w:rPr>
                <w:rFonts w:hint="eastAsia" w:ascii="宋体" w:hAnsi="宋体" w:eastAsia="宋体" w:cs="宋体"/>
                <w:color w:val="auto"/>
                <w:sz w:val="28"/>
                <w:szCs w:val="28"/>
                <w:highlight w:val="none"/>
              </w:rPr>
            </w:pPr>
          </w:p>
        </w:tc>
        <w:tc>
          <w:tcPr>
            <w:tcW w:w="1225" w:type="dxa"/>
            <w:noWrap w:val="0"/>
            <w:vAlign w:val="center"/>
          </w:tcPr>
          <w:p w14:paraId="506D5A5F">
            <w:pPr>
              <w:jc w:val="center"/>
              <w:rPr>
                <w:rFonts w:hint="eastAsia" w:ascii="宋体" w:hAnsi="宋体" w:eastAsia="宋体" w:cs="宋体"/>
                <w:color w:val="auto"/>
                <w:sz w:val="28"/>
                <w:szCs w:val="28"/>
                <w:highlight w:val="none"/>
              </w:rPr>
            </w:pPr>
          </w:p>
        </w:tc>
        <w:tc>
          <w:tcPr>
            <w:tcW w:w="574" w:type="dxa"/>
            <w:noWrap w:val="0"/>
            <w:vAlign w:val="center"/>
          </w:tcPr>
          <w:p w14:paraId="4CF124F1">
            <w:pPr>
              <w:jc w:val="center"/>
              <w:rPr>
                <w:rFonts w:hint="eastAsia" w:ascii="宋体" w:hAnsi="宋体" w:eastAsia="宋体" w:cs="宋体"/>
                <w:color w:val="auto"/>
                <w:sz w:val="28"/>
                <w:szCs w:val="28"/>
                <w:highlight w:val="none"/>
              </w:rPr>
            </w:pPr>
          </w:p>
        </w:tc>
        <w:tc>
          <w:tcPr>
            <w:tcW w:w="723" w:type="dxa"/>
            <w:noWrap w:val="0"/>
            <w:vAlign w:val="center"/>
          </w:tcPr>
          <w:p w14:paraId="7053393B">
            <w:pPr>
              <w:jc w:val="center"/>
              <w:rPr>
                <w:rFonts w:hint="eastAsia" w:ascii="宋体" w:hAnsi="宋体" w:eastAsia="宋体" w:cs="宋体"/>
                <w:color w:val="auto"/>
                <w:sz w:val="28"/>
                <w:szCs w:val="28"/>
                <w:highlight w:val="none"/>
              </w:rPr>
            </w:pPr>
          </w:p>
        </w:tc>
        <w:tc>
          <w:tcPr>
            <w:tcW w:w="943" w:type="dxa"/>
            <w:noWrap w:val="0"/>
            <w:vAlign w:val="center"/>
          </w:tcPr>
          <w:p w14:paraId="38B31E87">
            <w:pPr>
              <w:jc w:val="center"/>
              <w:rPr>
                <w:rFonts w:hint="eastAsia" w:ascii="宋体" w:hAnsi="宋体" w:eastAsia="宋体" w:cs="宋体"/>
                <w:color w:val="auto"/>
                <w:sz w:val="28"/>
                <w:szCs w:val="28"/>
                <w:highlight w:val="none"/>
              </w:rPr>
            </w:pPr>
          </w:p>
        </w:tc>
        <w:tc>
          <w:tcPr>
            <w:tcW w:w="2145" w:type="dxa"/>
            <w:noWrap w:val="0"/>
            <w:vAlign w:val="center"/>
          </w:tcPr>
          <w:p w14:paraId="6F5536FA">
            <w:pPr>
              <w:jc w:val="center"/>
              <w:rPr>
                <w:rFonts w:hint="eastAsia" w:ascii="宋体" w:hAnsi="宋体" w:eastAsia="宋体" w:cs="宋体"/>
                <w:color w:val="auto"/>
                <w:sz w:val="28"/>
                <w:szCs w:val="28"/>
                <w:highlight w:val="none"/>
              </w:rPr>
            </w:pPr>
          </w:p>
        </w:tc>
        <w:tc>
          <w:tcPr>
            <w:tcW w:w="2310" w:type="dxa"/>
            <w:noWrap w:val="0"/>
            <w:vAlign w:val="center"/>
          </w:tcPr>
          <w:p w14:paraId="55EDDEB1">
            <w:pPr>
              <w:jc w:val="center"/>
              <w:rPr>
                <w:rFonts w:hint="eastAsia" w:ascii="宋体" w:hAnsi="宋体" w:eastAsia="宋体" w:cs="宋体"/>
                <w:color w:val="auto"/>
                <w:sz w:val="28"/>
                <w:szCs w:val="28"/>
                <w:highlight w:val="none"/>
              </w:rPr>
            </w:pPr>
          </w:p>
        </w:tc>
      </w:tr>
      <w:tr w14:paraId="7362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3" w:type="dxa"/>
            <w:noWrap w:val="0"/>
            <w:vAlign w:val="top"/>
          </w:tcPr>
          <w:p w14:paraId="174E5305">
            <w:pPr>
              <w:rPr>
                <w:rFonts w:hint="eastAsia" w:ascii="宋体" w:hAnsi="宋体" w:eastAsia="宋体" w:cs="宋体"/>
                <w:color w:val="auto"/>
                <w:sz w:val="28"/>
                <w:szCs w:val="28"/>
                <w:highlight w:val="none"/>
              </w:rPr>
            </w:pPr>
          </w:p>
        </w:tc>
        <w:tc>
          <w:tcPr>
            <w:tcW w:w="1225" w:type="dxa"/>
            <w:noWrap w:val="0"/>
            <w:vAlign w:val="top"/>
          </w:tcPr>
          <w:p w14:paraId="66D31DB9">
            <w:pPr>
              <w:rPr>
                <w:rFonts w:hint="eastAsia" w:ascii="宋体" w:hAnsi="宋体" w:eastAsia="宋体" w:cs="宋体"/>
                <w:color w:val="auto"/>
                <w:sz w:val="28"/>
                <w:szCs w:val="28"/>
                <w:highlight w:val="none"/>
              </w:rPr>
            </w:pPr>
          </w:p>
        </w:tc>
        <w:tc>
          <w:tcPr>
            <w:tcW w:w="574" w:type="dxa"/>
            <w:noWrap w:val="0"/>
            <w:vAlign w:val="top"/>
          </w:tcPr>
          <w:p w14:paraId="709BD2EF">
            <w:pPr>
              <w:rPr>
                <w:rFonts w:hint="eastAsia" w:ascii="宋体" w:hAnsi="宋体" w:eastAsia="宋体" w:cs="宋体"/>
                <w:color w:val="auto"/>
                <w:sz w:val="28"/>
                <w:szCs w:val="28"/>
                <w:highlight w:val="none"/>
              </w:rPr>
            </w:pPr>
          </w:p>
        </w:tc>
        <w:tc>
          <w:tcPr>
            <w:tcW w:w="723" w:type="dxa"/>
            <w:noWrap w:val="0"/>
            <w:vAlign w:val="top"/>
          </w:tcPr>
          <w:p w14:paraId="1D5233CC">
            <w:pPr>
              <w:rPr>
                <w:rFonts w:hint="eastAsia" w:ascii="宋体" w:hAnsi="宋体" w:eastAsia="宋体" w:cs="宋体"/>
                <w:color w:val="auto"/>
                <w:sz w:val="28"/>
                <w:szCs w:val="28"/>
                <w:highlight w:val="none"/>
              </w:rPr>
            </w:pPr>
          </w:p>
        </w:tc>
        <w:tc>
          <w:tcPr>
            <w:tcW w:w="943" w:type="dxa"/>
            <w:noWrap w:val="0"/>
            <w:vAlign w:val="top"/>
          </w:tcPr>
          <w:p w14:paraId="7467A997">
            <w:pPr>
              <w:rPr>
                <w:rFonts w:hint="eastAsia" w:ascii="宋体" w:hAnsi="宋体" w:eastAsia="宋体" w:cs="宋体"/>
                <w:color w:val="auto"/>
                <w:sz w:val="28"/>
                <w:szCs w:val="28"/>
                <w:highlight w:val="none"/>
              </w:rPr>
            </w:pPr>
          </w:p>
        </w:tc>
        <w:tc>
          <w:tcPr>
            <w:tcW w:w="2145" w:type="dxa"/>
            <w:noWrap w:val="0"/>
            <w:vAlign w:val="top"/>
          </w:tcPr>
          <w:p w14:paraId="1A1C625E">
            <w:pPr>
              <w:rPr>
                <w:rFonts w:hint="eastAsia" w:ascii="宋体" w:hAnsi="宋体" w:eastAsia="宋体" w:cs="宋体"/>
                <w:color w:val="auto"/>
                <w:sz w:val="28"/>
                <w:szCs w:val="28"/>
                <w:highlight w:val="none"/>
              </w:rPr>
            </w:pPr>
          </w:p>
        </w:tc>
        <w:tc>
          <w:tcPr>
            <w:tcW w:w="2310" w:type="dxa"/>
            <w:noWrap w:val="0"/>
            <w:vAlign w:val="top"/>
          </w:tcPr>
          <w:p w14:paraId="77D1B798">
            <w:pPr>
              <w:rPr>
                <w:rFonts w:hint="eastAsia" w:ascii="宋体" w:hAnsi="宋体" w:eastAsia="宋体" w:cs="宋体"/>
                <w:color w:val="auto"/>
                <w:sz w:val="28"/>
                <w:szCs w:val="28"/>
                <w:highlight w:val="none"/>
              </w:rPr>
            </w:pPr>
          </w:p>
        </w:tc>
      </w:tr>
      <w:tr w14:paraId="533E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3" w:type="dxa"/>
            <w:noWrap w:val="0"/>
            <w:vAlign w:val="top"/>
          </w:tcPr>
          <w:p w14:paraId="116969E9">
            <w:pPr>
              <w:rPr>
                <w:rFonts w:hint="eastAsia" w:ascii="宋体" w:hAnsi="宋体" w:eastAsia="宋体" w:cs="宋体"/>
                <w:color w:val="auto"/>
                <w:sz w:val="28"/>
                <w:szCs w:val="28"/>
                <w:highlight w:val="none"/>
              </w:rPr>
            </w:pPr>
          </w:p>
        </w:tc>
        <w:tc>
          <w:tcPr>
            <w:tcW w:w="1225" w:type="dxa"/>
            <w:noWrap w:val="0"/>
            <w:vAlign w:val="top"/>
          </w:tcPr>
          <w:p w14:paraId="1E37588C">
            <w:pPr>
              <w:rPr>
                <w:rFonts w:hint="eastAsia" w:ascii="宋体" w:hAnsi="宋体" w:eastAsia="宋体" w:cs="宋体"/>
                <w:color w:val="auto"/>
                <w:sz w:val="28"/>
                <w:szCs w:val="28"/>
                <w:highlight w:val="none"/>
              </w:rPr>
            </w:pPr>
          </w:p>
        </w:tc>
        <w:tc>
          <w:tcPr>
            <w:tcW w:w="574" w:type="dxa"/>
            <w:noWrap w:val="0"/>
            <w:vAlign w:val="top"/>
          </w:tcPr>
          <w:p w14:paraId="0F75861B">
            <w:pPr>
              <w:rPr>
                <w:rFonts w:hint="eastAsia" w:ascii="宋体" w:hAnsi="宋体" w:eastAsia="宋体" w:cs="宋体"/>
                <w:color w:val="auto"/>
                <w:sz w:val="28"/>
                <w:szCs w:val="28"/>
                <w:highlight w:val="none"/>
              </w:rPr>
            </w:pPr>
          </w:p>
        </w:tc>
        <w:tc>
          <w:tcPr>
            <w:tcW w:w="723" w:type="dxa"/>
            <w:noWrap w:val="0"/>
            <w:vAlign w:val="top"/>
          </w:tcPr>
          <w:p w14:paraId="59271013">
            <w:pPr>
              <w:rPr>
                <w:rFonts w:hint="eastAsia" w:ascii="宋体" w:hAnsi="宋体" w:eastAsia="宋体" w:cs="宋体"/>
                <w:color w:val="auto"/>
                <w:sz w:val="28"/>
                <w:szCs w:val="28"/>
                <w:highlight w:val="none"/>
              </w:rPr>
            </w:pPr>
          </w:p>
        </w:tc>
        <w:tc>
          <w:tcPr>
            <w:tcW w:w="943" w:type="dxa"/>
            <w:noWrap w:val="0"/>
            <w:vAlign w:val="top"/>
          </w:tcPr>
          <w:p w14:paraId="27943728">
            <w:pPr>
              <w:rPr>
                <w:rFonts w:hint="eastAsia" w:ascii="宋体" w:hAnsi="宋体" w:eastAsia="宋体" w:cs="宋体"/>
                <w:color w:val="auto"/>
                <w:sz w:val="28"/>
                <w:szCs w:val="28"/>
                <w:highlight w:val="none"/>
              </w:rPr>
            </w:pPr>
          </w:p>
        </w:tc>
        <w:tc>
          <w:tcPr>
            <w:tcW w:w="2145" w:type="dxa"/>
            <w:noWrap w:val="0"/>
            <w:vAlign w:val="top"/>
          </w:tcPr>
          <w:p w14:paraId="51283CDB">
            <w:pPr>
              <w:rPr>
                <w:rFonts w:hint="eastAsia" w:ascii="宋体" w:hAnsi="宋体" w:eastAsia="宋体" w:cs="宋体"/>
                <w:color w:val="auto"/>
                <w:sz w:val="28"/>
                <w:szCs w:val="28"/>
                <w:highlight w:val="none"/>
              </w:rPr>
            </w:pPr>
          </w:p>
        </w:tc>
        <w:tc>
          <w:tcPr>
            <w:tcW w:w="2310" w:type="dxa"/>
            <w:noWrap w:val="0"/>
            <w:vAlign w:val="top"/>
          </w:tcPr>
          <w:p w14:paraId="3E5191E4">
            <w:pPr>
              <w:rPr>
                <w:rFonts w:hint="eastAsia" w:ascii="宋体" w:hAnsi="宋体" w:eastAsia="宋体" w:cs="宋体"/>
                <w:color w:val="auto"/>
                <w:sz w:val="28"/>
                <w:szCs w:val="28"/>
                <w:highlight w:val="none"/>
              </w:rPr>
            </w:pPr>
          </w:p>
        </w:tc>
      </w:tr>
      <w:tr w14:paraId="108E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3" w:type="dxa"/>
            <w:noWrap w:val="0"/>
            <w:vAlign w:val="top"/>
          </w:tcPr>
          <w:p w14:paraId="77B18C3B">
            <w:pPr>
              <w:rPr>
                <w:rFonts w:hint="eastAsia" w:ascii="宋体" w:hAnsi="宋体" w:eastAsia="宋体" w:cs="宋体"/>
                <w:color w:val="auto"/>
                <w:sz w:val="28"/>
                <w:szCs w:val="28"/>
                <w:highlight w:val="none"/>
              </w:rPr>
            </w:pPr>
          </w:p>
        </w:tc>
        <w:tc>
          <w:tcPr>
            <w:tcW w:w="1225" w:type="dxa"/>
            <w:noWrap w:val="0"/>
            <w:vAlign w:val="top"/>
          </w:tcPr>
          <w:p w14:paraId="6A2C5938">
            <w:pPr>
              <w:rPr>
                <w:rFonts w:hint="eastAsia" w:ascii="宋体" w:hAnsi="宋体" w:eastAsia="宋体" w:cs="宋体"/>
                <w:color w:val="auto"/>
                <w:sz w:val="28"/>
                <w:szCs w:val="28"/>
                <w:highlight w:val="none"/>
              </w:rPr>
            </w:pPr>
          </w:p>
        </w:tc>
        <w:tc>
          <w:tcPr>
            <w:tcW w:w="574" w:type="dxa"/>
            <w:noWrap w:val="0"/>
            <w:vAlign w:val="top"/>
          </w:tcPr>
          <w:p w14:paraId="7B908E02">
            <w:pPr>
              <w:rPr>
                <w:rFonts w:hint="eastAsia" w:ascii="宋体" w:hAnsi="宋体" w:eastAsia="宋体" w:cs="宋体"/>
                <w:color w:val="auto"/>
                <w:sz w:val="28"/>
                <w:szCs w:val="28"/>
                <w:highlight w:val="none"/>
              </w:rPr>
            </w:pPr>
          </w:p>
        </w:tc>
        <w:tc>
          <w:tcPr>
            <w:tcW w:w="723" w:type="dxa"/>
            <w:noWrap w:val="0"/>
            <w:vAlign w:val="top"/>
          </w:tcPr>
          <w:p w14:paraId="3DAD6AF6">
            <w:pPr>
              <w:rPr>
                <w:rFonts w:hint="eastAsia" w:ascii="宋体" w:hAnsi="宋体" w:eastAsia="宋体" w:cs="宋体"/>
                <w:color w:val="auto"/>
                <w:sz w:val="28"/>
                <w:szCs w:val="28"/>
                <w:highlight w:val="none"/>
              </w:rPr>
            </w:pPr>
          </w:p>
        </w:tc>
        <w:tc>
          <w:tcPr>
            <w:tcW w:w="943" w:type="dxa"/>
            <w:noWrap w:val="0"/>
            <w:vAlign w:val="top"/>
          </w:tcPr>
          <w:p w14:paraId="0112A9BE">
            <w:pPr>
              <w:pStyle w:val="66"/>
              <w:rPr>
                <w:rFonts w:hint="eastAsia" w:ascii="宋体" w:hAnsi="宋体" w:eastAsia="宋体" w:cs="宋体"/>
                <w:color w:val="auto"/>
                <w:sz w:val="28"/>
                <w:szCs w:val="28"/>
                <w:highlight w:val="none"/>
              </w:rPr>
            </w:pPr>
          </w:p>
        </w:tc>
        <w:tc>
          <w:tcPr>
            <w:tcW w:w="2145" w:type="dxa"/>
            <w:noWrap w:val="0"/>
            <w:vAlign w:val="top"/>
          </w:tcPr>
          <w:p w14:paraId="0A8A78AE">
            <w:pPr>
              <w:rPr>
                <w:rFonts w:hint="eastAsia" w:ascii="宋体" w:hAnsi="宋体" w:eastAsia="宋体" w:cs="宋体"/>
                <w:color w:val="auto"/>
                <w:sz w:val="28"/>
                <w:szCs w:val="28"/>
                <w:highlight w:val="none"/>
              </w:rPr>
            </w:pPr>
          </w:p>
        </w:tc>
        <w:tc>
          <w:tcPr>
            <w:tcW w:w="2310" w:type="dxa"/>
            <w:noWrap w:val="0"/>
            <w:vAlign w:val="top"/>
          </w:tcPr>
          <w:p w14:paraId="2D383310">
            <w:pPr>
              <w:rPr>
                <w:rFonts w:hint="eastAsia" w:ascii="宋体" w:hAnsi="宋体" w:eastAsia="宋体" w:cs="宋体"/>
                <w:color w:val="auto"/>
                <w:sz w:val="28"/>
                <w:szCs w:val="28"/>
                <w:highlight w:val="none"/>
              </w:rPr>
            </w:pPr>
          </w:p>
        </w:tc>
      </w:tr>
      <w:tr w14:paraId="3A85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3" w:type="dxa"/>
            <w:noWrap w:val="0"/>
            <w:vAlign w:val="top"/>
          </w:tcPr>
          <w:p w14:paraId="00F3C268">
            <w:pPr>
              <w:rPr>
                <w:rFonts w:hint="eastAsia" w:ascii="宋体" w:hAnsi="宋体" w:eastAsia="宋体" w:cs="宋体"/>
                <w:color w:val="auto"/>
                <w:sz w:val="28"/>
                <w:szCs w:val="28"/>
                <w:highlight w:val="none"/>
              </w:rPr>
            </w:pPr>
          </w:p>
        </w:tc>
        <w:tc>
          <w:tcPr>
            <w:tcW w:w="1225" w:type="dxa"/>
            <w:noWrap w:val="0"/>
            <w:vAlign w:val="top"/>
          </w:tcPr>
          <w:p w14:paraId="7DD2D126">
            <w:pPr>
              <w:rPr>
                <w:rFonts w:hint="eastAsia" w:ascii="宋体" w:hAnsi="宋体" w:eastAsia="宋体" w:cs="宋体"/>
                <w:color w:val="auto"/>
                <w:sz w:val="28"/>
                <w:szCs w:val="28"/>
                <w:highlight w:val="none"/>
              </w:rPr>
            </w:pPr>
          </w:p>
        </w:tc>
        <w:tc>
          <w:tcPr>
            <w:tcW w:w="574" w:type="dxa"/>
            <w:noWrap w:val="0"/>
            <w:vAlign w:val="top"/>
          </w:tcPr>
          <w:p w14:paraId="6E3C369F">
            <w:pPr>
              <w:rPr>
                <w:rFonts w:hint="eastAsia" w:ascii="宋体" w:hAnsi="宋体" w:eastAsia="宋体" w:cs="宋体"/>
                <w:color w:val="auto"/>
                <w:sz w:val="28"/>
                <w:szCs w:val="28"/>
                <w:highlight w:val="none"/>
              </w:rPr>
            </w:pPr>
          </w:p>
        </w:tc>
        <w:tc>
          <w:tcPr>
            <w:tcW w:w="723" w:type="dxa"/>
            <w:noWrap w:val="0"/>
            <w:vAlign w:val="top"/>
          </w:tcPr>
          <w:p w14:paraId="3F9F835C">
            <w:pPr>
              <w:rPr>
                <w:rFonts w:hint="eastAsia" w:ascii="宋体" w:hAnsi="宋体" w:eastAsia="宋体" w:cs="宋体"/>
                <w:color w:val="auto"/>
                <w:sz w:val="28"/>
                <w:szCs w:val="28"/>
                <w:highlight w:val="none"/>
              </w:rPr>
            </w:pPr>
          </w:p>
        </w:tc>
        <w:tc>
          <w:tcPr>
            <w:tcW w:w="943" w:type="dxa"/>
            <w:noWrap w:val="0"/>
            <w:vAlign w:val="top"/>
          </w:tcPr>
          <w:p w14:paraId="6409049E">
            <w:pPr>
              <w:pStyle w:val="66"/>
              <w:rPr>
                <w:rFonts w:hint="eastAsia" w:ascii="宋体" w:hAnsi="宋体" w:eastAsia="宋体" w:cs="宋体"/>
                <w:color w:val="auto"/>
                <w:sz w:val="28"/>
                <w:szCs w:val="28"/>
                <w:highlight w:val="none"/>
              </w:rPr>
            </w:pPr>
          </w:p>
        </w:tc>
        <w:tc>
          <w:tcPr>
            <w:tcW w:w="2145" w:type="dxa"/>
            <w:noWrap w:val="0"/>
            <w:vAlign w:val="top"/>
          </w:tcPr>
          <w:p w14:paraId="44FB04C5">
            <w:pPr>
              <w:rPr>
                <w:rFonts w:hint="eastAsia" w:ascii="宋体" w:hAnsi="宋体" w:eastAsia="宋体" w:cs="宋体"/>
                <w:color w:val="auto"/>
                <w:sz w:val="28"/>
                <w:szCs w:val="28"/>
                <w:highlight w:val="none"/>
              </w:rPr>
            </w:pPr>
          </w:p>
        </w:tc>
        <w:tc>
          <w:tcPr>
            <w:tcW w:w="2310" w:type="dxa"/>
            <w:noWrap w:val="0"/>
            <w:vAlign w:val="top"/>
          </w:tcPr>
          <w:p w14:paraId="20374672">
            <w:pPr>
              <w:rPr>
                <w:rFonts w:hint="eastAsia" w:ascii="宋体" w:hAnsi="宋体" w:eastAsia="宋体" w:cs="宋体"/>
                <w:color w:val="auto"/>
                <w:sz w:val="28"/>
                <w:szCs w:val="28"/>
                <w:highlight w:val="none"/>
              </w:rPr>
            </w:pPr>
          </w:p>
        </w:tc>
      </w:tr>
    </w:tbl>
    <w:p w14:paraId="788E6C9C">
      <w:pPr>
        <w:rPr>
          <w:rFonts w:hint="eastAsia" w:ascii="宋体" w:hAnsi="宋体" w:eastAsia="宋体"/>
          <w:color w:val="auto"/>
          <w:sz w:val="28"/>
          <w:szCs w:val="28"/>
          <w:highlight w:val="none"/>
        </w:rPr>
      </w:pPr>
    </w:p>
    <w:p w14:paraId="1D49A99F">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法定代表人（签字或盖章）：     </w:t>
      </w:r>
    </w:p>
    <w:p w14:paraId="648A1CBC">
      <w:pPr>
        <w:rPr>
          <w:rFonts w:hint="eastAsia" w:ascii="宋体" w:hAnsi="宋体" w:eastAsia="宋体"/>
          <w:color w:val="auto"/>
          <w:sz w:val="28"/>
          <w:szCs w:val="28"/>
          <w:highlight w:val="none"/>
        </w:rPr>
      </w:pPr>
    </w:p>
    <w:p w14:paraId="4328FF65">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投标人（盖章）：</w:t>
      </w:r>
    </w:p>
    <w:p w14:paraId="209013E1">
      <w:pPr>
        <w:jc w:val="right"/>
        <w:rPr>
          <w:rFonts w:hint="eastAsia" w:ascii="宋体" w:hAnsi="宋体" w:eastAsia="宋体"/>
          <w:color w:val="auto"/>
          <w:sz w:val="28"/>
          <w:szCs w:val="28"/>
          <w:highlight w:val="none"/>
        </w:rPr>
      </w:pPr>
    </w:p>
    <w:p w14:paraId="34439D8B">
      <w:pPr>
        <w:pStyle w:val="27"/>
        <w:ind w:firstLine="6020" w:firstLineChars="2150"/>
        <w:rPr>
          <w:rFonts w:hint="eastAsia" w:eastAsia="宋体"/>
          <w:color w:val="auto"/>
          <w:highlight w:val="none"/>
        </w:rPr>
      </w:pPr>
      <w:r>
        <w:rPr>
          <w:rFonts w:hint="eastAsia" w:eastAsia="宋体"/>
          <w:color w:val="auto"/>
          <w:highlight w:val="none"/>
        </w:rPr>
        <w:t>日期：   年   月   日</w:t>
      </w:r>
    </w:p>
    <w:p w14:paraId="4F3B9A8F">
      <w:pPr>
        <w:pStyle w:val="42"/>
        <w:jc w:val="both"/>
        <w:rPr>
          <w:rFonts w:hint="eastAsia"/>
          <w:b w:val="0"/>
          <w:bCs w:val="0"/>
          <w:color w:val="auto"/>
          <w:sz w:val="28"/>
          <w:szCs w:val="28"/>
          <w:highlight w:val="none"/>
        </w:rPr>
      </w:pPr>
    </w:p>
    <w:p w14:paraId="2B231892">
      <w:pPr>
        <w:pStyle w:val="42"/>
        <w:jc w:val="both"/>
        <w:rPr>
          <w:rFonts w:hint="eastAsia"/>
          <w:b w:val="0"/>
          <w:bCs w:val="0"/>
          <w:color w:val="auto"/>
          <w:sz w:val="28"/>
          <w:szCs w:val="28"/>
          <w:highlight w:val="none"/>
        </w:rPr>
      </w:pPr>
    </w:p>
    <w:p w14:paraId="1159286D">
      <w:pPr>
        <w:pStyle w:val="42"/>
        <w:jc w:val="both"/>
        <w:rPr>
          <w:rFonts w:hint="eastAsia"/>
          <w:b w:val="0"/>
          <w:bCs w:val="0"/>
          <w:color w:val="auto"/>
          <w:sz w:val="28"/>
          <w:szCs w:val="28"/>
          <w:highlight w:val="none"/>
        </w:rPr>
      </w:pPr>
    </w:p>
    <w:p w14:paraId="464407D5">
      <w:pPr>
        <w:pStyle w:val="42"/>
        <w:jc w:val="both"/>
        <w:rPr>
          <w:rFonts w:hint="eastAsia"/>
          <w:b w:val="0"/>
          <w:bCs w:val="0"/>
          <w:color w:val="auto"/>
          <w:sz w:val="28"/>
          <w:szCs w:val="28"/>
          <w:highlight w:val="none"/>
        </w:rPr>
      </w:pPr>
    </w:p>
    <w:p w14:paraId="5D5CF940">
      <w:pPr>
        <w:pStyle w:val="42"/>
        <w:jc w:val="both"/>
        <w:rPr>
          <w:rFonts w:hint="eastAsia"/>
          <w:b w:val="0"/>
          <w:bCs w:val="0"/>
          <w:color w:val="auto"/>
          <w:sz w:val="28"/>
          <w:szCs w:val="28"/>
          <w:highlight w:val="none"/>
        </w:rPr>
      </w:pPr>
      <w:r>
        <w:rPr>
          <w:rFonts w:hint="eastAsia"/>
          <w:b w:val="0"/>
          <w:bCs w:val="0"/>
          <w:color w:val="auto"/>
          <w:sz w:val="28"/>
          <w:szCs w:val="28"/>
          <w:highlight w:val="none"/>
        </w:rPr>
        <w:t>附件</w:t>
      </w:r>
      <w:r>
        <w:rPr>
          <w:rFonts w:hint="eastAsia"/>
          <w:b w:val="0"/>
          <w:bCs w:val="0"/>
          <w:color w:val="auto"/>
          <w:sz w:val="28"/>
          <w:szCs w:val="28"/>
          <w:highlight w:val="none"/>
          <w:lang w:val="en-US" w:eastAsia="zh-CN"/>
        </w:rPr>
        <w:t>五</w:t>
      </w:r>
      <w:r>
        <w:rPr>
          <w:rFonts w:hint="eastAsia"/>
          <w:b w:val="0"/>
          <w:bCs w:val="0"/>
          <w:color w:val="auto"/>
          <w:sz w:val="28"/>
          <w:szCs w:val="28"/>
          <w:highlight w:val="none"/>
        </w:rPr>
        <w:t>：</w:t>
      </w:r>
      <w:bookmarkEnd w:id="725"/>
    </w:p>
    <w:p w14:paraId="08A8BE35">
      <w:pPr>
        <w:spacing w:line="480" w:lineRule="auto"/>
        <w:jc w:val="center"/>
        <w:outlineLvl w:val="0"/>
        <w:rPr>
          <w:rFonts w:hint="eastAsia" w:ascii="宋体" w:hAnsi="宋体" w:eastAsia="宋体"/>
          <w:color w:val="auto"/>
          <w:szCs w:val="32"/>
          <w:highlight w:val="none"/>
        </w:rPr>
      </w:pPr>
      <w:r>
        <w:rPr>
          <w:rFonts w:hint="eastAsia" w:eastAsia="宋体"/>
          <w:b/>
          <w:color w:val="auto"/>
          <w:szCs w:val="32"/>
          <w:highlight w:val="none"/>
          <w:lang w:eastAsia="zh-CN"/>
        </w:rPr>
        <w:t>天和大厦钢结构除锈工程</w:t>
      </w:r>
      <w:r>
        <w:rPr>
          <w:rFonts w:hint="eastAsia" w:eastAsia="宋体"/>
          <w:b/>
          <w:bCs/>
          <w:color w:val="auto"/>
          <w:szCs w:val="32"/>
          <w:highlight w:val="none"/>
        </w:rPr>
        <w:t xml:space="preserve">   </w:t>
      </w:r>
    </w:p>
    <w:p w14:paraId="2D7E4273">
      <w:pPr>
        <w:spacing w:line="480" w:lineRule="auto"/>
        <w:jc w:val="center"/>
        <w:outlineLvl w:val="0"/>
        <w:rPr>
          <w:rFonts w:hint="eastAsia" w:ascii="黑体" w:hAnsi="宋体" w:eastAsia="黑体"/>
          <w:b/>
          <w:color w:val="auto"/>
          <w:sz w:val="44"/>
          <w:highlight w:val="none"/>
        </w:rPr>
      </w:pPr>
      <w:r>
        <w:rPr>
          <w:rFonts w:hint="eastAsia" w:ascii="宋体" w:hAnsi="宋体" w:eastAsia="宋体"/>
          <w:b/>
          <w:bCs/>
          <w:color w:val="auto"/>
          <w:sz w:val="28"/>
          <w:szCs w:val="28"/>
          <w:highlight w:val="none"/>
        </w:rPr>
        <w:t>投 标 函</w:t>
      </w:r>
    </w:p>
    <w:p w14:paraId="254328DD">
      <w:pPr>
        <w:pStyle w:val="36"/>
        <w:spacing w:line="360" w:lineRule="auto"/>
        <w:ind w:firstLine="0"/>
        <w:rPr>
          <w:rFonts w:hint="eastAsia" w:ascii="宋体" w:hAnsi="宋体" w:eastAsia="宋体" w:cs="宋体"/>
          <w:b/>
          <w:color w:val="auto"/>
          <w:szCs w:val="28"/>
          <w:highlight w:val="none"/>
        </w:rPr>
      </w:pPr>
      <w:r>
        <w:rPr>
          <w:rFonts w:hint="eastAsia" w:ascii="宋体" w:hAnsi="宋体" w:eastAsia="宋体" w:cs="宋体"/>
          <w:bCs/>
          <w:color w:val="auto"/>
          <w:szCs w:val="28"/>
          <w:highlight w:val="none"/>
          <w:u w:val="single"/>
          <w:lang w:eastAsia="zh-CN"/>
        </w:rPr>
        <w:t>浙江台州高速公路集团股份有限公司</w:t>
      </w:r>
      <w:r>
        <w:rPr>
          <w:rFonts w:hint="eastAsia" w:ascii="宋体" w:hAnsi="宋体" w:eastAsia="宋体" w:cs="宋体"/>
          <w:bCs/>
          <w:color w:val="auto"/>
          <w:szCs w:val="28"/>
          <w:highlight w:val="none"/>
        </w:rPr>
        <w:t>：</w:t>
      </w:r>
    </w:p>
    <w:p w14:paraId="3611ED3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一、根据你方</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的招标文件，经考察现</w:t>
      </w:r>
      <w:r>
        <w:rPr>
          <w:rFonts w:hint="eastAsia" w:ascii="宋体" w:hAnsi="宋体" w:eastAsia="宋体" w:cs="宋体"/>
          <w:color w:val="auto"/>
          <w:w w:val="107"/>
          <w:sz w:val="28"/>
          <w:szCs w:val="28"/>
          <w:highlight w:val="none"/>
        </w:rPr>
        <w:t>场和研究上述招标文件后，</w:t>
      </w:r>
      <w:r>
        <w:rPr>
          <w:rFonts w:hint="eastAsia" w:ascii="宋体" w:hAnsi="宋体" w:eastAsia="宋体" w:cs="宋体"/>
          <w:color w:val="auto"/>
          <w:sz w:val="28"/>
          <w:szCs w:val="28"/>
          <w:highlight w:val="none"/>
        </w:rPr>
        <w:t xml:space="preserve">在全部同意招标文件内容前提下，我方保证： </w:t>
      </w:r>
    </w:p>
    <w:p w14:paraId="3EEB3C11">
      <w:pPr>
        <w:spacing w:line="360" w:lineRule="auto"/>
        <w:ind w:firstLine="57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w w:val="107"/>
          <w:sz w:val="28"/>
          <w:szCs w:val="28"/>
          <w:highlight w:val="none"/>
        </w:rPr>
        <w:t>愿以总报价人民币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拾</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拾</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元,承包上述工程的施工、竣工和保修；</w:t>
      </w:r>
    </w:p>
    <w:p w14:paraId="66D0A6DF">
      <w:pPr>
        <w:spacing w:line="360" w:lineRule="auto"/>
        <w:ind w:firstLine="585"/>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2、总工期</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none"/>
          <w:lang w:val="en-US" w:eastAsia="zh-CN"/>
        </w:rPr>
        <w:t>日历</w:t>
      </w:r>
      <w:r>
        <w:rPr>
          <w:rFonts w:hint="eastAsia" w:ascii="宋体" w:hAnsi="宋体" w:eastAsia="宋体" w:cs="宋体"/>
          <w:bCs/>
          <w:color w:val="auto"/>
          <w:sz w:val="28"/>
          <w:szCs w:val="28"/>
          <w:highlight w:val="none"/>
          <w:lang w:val="en-US" w:eastAsia="zh-CN"/>
        </w:rPr>
        <w:t>天</w:t>
      </w:r>
      <w:r>
        <w:rPr>
          <w:rFonts w:hint="eastAsia" w:ascii="宋体" w:hAnsi="宋体" w:eastAsia="宋体" w:cs="宋体"/>
          <w:color w:val="auto"/>
          <w:sz w:val="28"/>
          <w:szCs w:val="28"/>
          <w:highlight w:val="none"/>
        </w:rPr>
        <w:t>；</w:t>
      </w:r>
    </w:p>
    <w:p w14:paraId="1D6B0219">
      <w:pPr>
        <w:spacing w:line="360" w:lineRule="auto"/>
        <w:ind w:firstLine="58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3、工程质量等级合格；</w:t>
      </w:r>
    </w:p>
    <w:p w14:paraId="3844AA8F">
      <w:pPr>
        <w:spacing w:line="360" w:lineRule="auto"/>
        <w:ind w:left="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4、人员设备按本投标文件的部署及时到位。</w:t>
      </w:r>
    </w:p>
    <w:p w14:paraId="552DEF48">
      <w:pPr>
        <w:spacing w:line="360" w:lineRule="auto"/>
        <w:ind w:firstLine="58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二、如果我方中标，我方将按照招标文件规定提交履约担保，共同地和分别地承担责任。</w:t>
      </w:r>
    </w:p>
    <w:p w14:paraId="67A97B25">
      <w:pPr>
        <w:spacing w:line="360" w:lineRule="auto"/>
        <w:ind w:firstLine="618" w:firstLineChars="22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三、除非另外达成协议并生效，你方的中标通知书和本投标文件将构成约束我们双方的合同。</w:t>
      </w:r>
    </w:p>
    <w:p w14:paraId="7957A4CF">
      <w:pPr>
        <w:spacing w:line="360" w:lineRule="auto"/>
        <w:ind w:firstLine="618" w:firstLineChars="22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四、我方的投标担保已按招标文件的要求递交。</w:t>
      </w:r>
    </w:p>
    <w:p w14:paraId="07F48DAB">
      <w:pPr>
        <w:ind w:firstLine="48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30E4D875">
      <w:pPr>
        <w:rPr>
          <w:rFonts w:hint="eastAsia" w:ascii="宋体" w:hAnsi="宋体" w:eastAsia="宋体"/>
          <w:color w:val="auto"/>
          <w:sz w:val="24"/>
          <w:szCs w:val="24"/>
          <w:highlight w:val="none"/>
        </w:rPr>
      </w:pPr>
    </w:p>
    <w:p w14:paraId="2033AA9F">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法定代表人（签字或盖章）：     </w:t>
      </w:r>
    </w:p>
    <w:p w14:paraId="048C5EAB">
      <w:pPr>
        <w:rPr>
          <w:rFonts w:hint="eastAsia" w:ascii="宋体" w:hAnsi="宋体" w:eastAsia="宋体"/>
          <w:color w:val="auto"/>
          <w:sz w:val="28"/>
          <w:szCs w:val="28"/>
          <w:highlight w:val="none"/>
        </w:rPr>
      </w:pPr>
    </w:p>
    <w:p w14:paraId="2491F9B8">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投标人（盖章）：</w:t>
      </w:r>
    </w:p>
    <w:p w14:paraId="4BBE6696">
      <w:pPr>
        <w:jc w:val="right"/>
        <w:rPr>
          <w:rFonts w:hint="eastAsia" w:ascii="宋体" w:hAnsi="宋体" w:eastAsia="宋体"/>
          <w:color w:val="auto"/>
          <w:sz w:val="28"/>
          <w:szCs w:val="28"/>
          <w:highlight w:val="none"/>
        </w:rPr>
      </w:pPr>
    </w:p>
    <w:p w14:paraId="2C336514">
      <w:pPr>
        <w:jc w:val="right"/>
        <w:rPr>
          <w:rFonts w:hint="eastAsia" w:eastAsia="宋体"/>
          <w:color w:val="auto"/>
          <w:sz w:val="28"/>
          <w:highlight w:val="none"/>
        </w:rPr>
      </w:pPr>
      <w:r>
        <w:rPr>
          <w:rFonts w:hint="eastAsia" w:eastAsia="宋体"/>
          <w:color w:val="auto"/>
          <w:sz w:val="28"/>
          <w:highlight w:val="none"/>
        </w:rPr>
        <w:t>日期：   年   月   日</w:t>
      </w:r>
    </w:p>
    <w:p w14:paraId="60D3F0A3">
      <w:pPr>
        <w:pStyle w:val="42"/>
        <w:spacing w:before="0" w:after="0"/>
        <w:jc w:val="both"/>
        <w:rPr>
          <w:rFonts w:hint="eastAsia" w:ascii="黑体" w:eastAsia="黑体"/>
          <w:color w:val="auto"/>
          <w:sz w:val="21"/>
          <w:szCs w:val="21"/>
          <w:highlight w:val="none"/>
        </w:rPr>
      </w:pPr>
      <w:r>
        <w:rPr>
          <w:rFonts w:hint="eastAsia"/>
          <w:color w:val="auto"/>
          <w:sz w:val="28"/>
          <w:highlight w:val="none"/>
        </w:rPr>
        <w:br w:type="page"/>
      </w:r>
      <w:bookmarkStart w:id="726" w:name="_Toc169487835"/>
      <w:bookmarkStart w:id="727" w:name="_Toc155342591"/>
      <w:r>
        <w:rPr>
          <w:rFonts w:hint="eastAsia"/>
          <w:b w:val="0"/>
          <w:bCs w:val="0"/>
          <w:color w:val="auto"/>
          <w:sz w:val="28"/>
          <w:szCs w:val="28"/>
          <w:highlight w:val="none"/>
        </w:rPr>
        <w:t>附件</w:t>
      </w:r>
      <w:r>
        <w:rPr>
          <w:rFonts w:hint="eastAsia"/>
          <w:b w:val="0"/>
          <w:bCs w:val="0"/>
          <w:color w:val="auto"/>
          <w:sz w:val="28"/>
          <w:szCs w:val="28"/>
          <w:highlight w:val="none"/>
          <w:lang w:val="en-US" w:eastAsia="zh-CN"/>
        </w:rPr>
        <w:t>六</w:t>
      </w:r>
      <w:r>
        <w:rPr>
          <w:rFonts w:hint="eastAsia"/>
          <w:b w:val="0"/>
          <w:bCs w:val="0"/>
          <w:color w:val="auto"/>
          <w:sz w:val="28"/>
          <w:szCs w:val="28"/>
          <w:highlight w:val="none"/>
        </w:rPr>
        <w:t>：</w:t>
      </w:r>
      <w:bookmarkEnd w:id="726"/>
      <w:bookmarkEnd w:id="727"/>
    </w:p>
    <w:p w14:paraId="6C65E379">
      <w:pPr>
        <w:adjustRightInd w:val="0"/>
        <w:snapToGrid w:val="0"/>
        <w:spacing w:before="120" w:beforeLines="50" w:line="360" w:lineRule="auto"/>
        <w:jc w:val="center"/>
        <w:rPr>
          <w:rFonts w:hint="eastAsia" w:ascii="黑体" w:eastAsia="黑体"/>
          <w:color w:val="auto"/>
          <w:sz w:val="44"/>
          <w:highlight w:val="none"/>
        </w:rPr>
      </w:pPr>
    </w:p>
    <w:p w14:paraId="3967E7B8">
      <w:pPr>
        <w:adjustRightInd w:val="0"/>
        <w:snapToGrid w:val="0"/>
        <w:spacing w:before="120" w:beforeLines="50" w:line="360" w:lineRule="auto"/>
        <w:jc w:val="center"/>
        <w:rPr>
          <w:rFonts w:hint="eastAsia" w:ascii="黑体" w:eastAsia="黑体"/>
          <w:color w:val="auto"/>
          <w:sz w:val="44"/>
          <w:highlight w:val="none"/>
        </w:rPr>
      </w:pPr>
      <w:r>
        <w:rPr>
          <w:rFonts w:hint="eastAsia" w:ascii="黑体" w:eastAsia="黑体"/>
          <w:color w:val="auto"/>
          <w:sz w:val="44"/>
          <w:highlight w:val="none"/>
        </w:rPr>
        <w:t>法定代表人授权委托书</w:t>
      </w:r>
    </w:p>
    <w:p w14:paraId="5E8E677C">
      <w:pPr>
        <w:adjustRightInd w:val="0"/>
        <w:snapToGrid w:val="0"/>
        <w:spacing w:before="120" w:beforeLines="50" w:line="360" w:lineRule="auto"/>
        <w:ind w:left="1645" w:leftChars="514" w:firstLine="560" w:firstLineChars="200"/>
        <w:rPr>
          <w:rFonts w:hint="eastAsia" w:ascii="宋体" w:eastAsia="宋体"/>
          <w:color w:val="auto"/>
          <w:sz w:val="28"/>
          <w:highlight w:val="none"/>
        </w:rPr>
      </w:pPr>
    </w:p>
    <w:p w14:paraId="1D79ABAF">
      <w:pPr>
        <w:adjustRightInd w:val="0"/>
        <w:snapToGrid w:val="0"/>
        <w:spacing w:line="480" w:lineRule="auto"/>
        <w:ind w:firstLine="600"/>
        <w:rPr>
          <w:rFonts w:hint="eastAsia" w:ascii="宋体" w:eastAsia="宋体"/>
          <w:color w:val="auto"/>
          <w:sz w:val="28"/>
          <w:szCs w:val="28"/>
          <w:highlight w:val="none"/>
          <w:u w:val="single"/>
        </w:rPr>
      </w:pPr>
      <w:r>
        <w:rPr>
          <w:rFonts w:hint="eastAsia" w:ascii="宋体" w:eastAsia="宋体"/>
          <w:color w:val="auto"/>
          <w:sz w:val="28"/>
          <w:szCs w:val="28"/>
          <w:highlight w:val="none"/>
        </w:rPr>
        <w:t>本授权委托书声明：我</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（姓名）系</w:t>
      </w:r>
      <w:r>
        <w:rPr>
          <w:rFonts w:hint="eastAsia" w:ascii="宋体" w:eastAsia="宋体"/>
          <w:color w:val="auto"/>
          <w:sz w:val="28"/>
          <w:szCs w:val="28"/>
          <w:highlight w:val="none"/>
          <w:u w:val="single"/>
        </w:rPr>
        <w:t xml:space="preserve">                       </w:t>
      </w:r>
    </w:p>
    <w:p w14:paraId="3F1D8178">
      <w:pPr>
        <w:adjustRightInd w:val="0"/>
        <w:snapToGrid w:val="0"/>
        <w:spacing w:line="480" w:lineRule="auto"/>
        <w:rPr>
          <w:rFonts w:hint="eastAsia" w:ascii="宋体" w:eastAsia="宋体"/>
          <w:color w:val="auto"/>
          <w:sz w:val="28"/>
          <w:szCs w:val="28"/>
          <w:highlight w:val="none"/>
        </w:rPr>
      </w:pP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（投标人）的法定代表人，现授权委托我单位</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（姓名）为我的代理人，以本单位的名义参加</w:t>
      </w:r>
      <w:r>
        <w:rPr>
          <w:rFonts w:hint="eastAsia" w:ascii="宋体" w:hAnsi="宋体" w:eastAsia="宋体" w:cs="宋体"/>
          <w:b/>
          <w:bCs/>
          <w:color w:val="auto"/>
          <w:sz w:val="28"/>
          <w:szCs w:val="28"/>
          <w:highlight w:val="none"/>
          <w:u w:val="single"/>
        </w:rPr>
        <w:t xml:space="preserve">          </w:t>
      </w:r>
      <w:r>
        <w:rPr>
          <w:rFonts w:hint="eastAsia" w:ascii="宋体" w:eastAsia="宋体"/>
          <w:color w:val="auto"/>
          <w:sz w:val="28"/>
          <w:szCs w:val="28"/>
          <w:highlight w:val="none"/>
        </w:rPr>
        <w:t>（招标人）的</w:t>
      </w:r>
      <w:r>
        <w:rPr>
          <w:rFonts w:hint="eastAsia" w:ascii="宋体" w:hAnsi="宋体" w:eastAsia="宋体" w:cs="宋体"/>
          <w:b/>
          <w:bCs/>
          <w:color w:val="auto"/>
          <w:sz w:val="28"/>
          <w:szCs w:val="28"/>
          <w:highlight w:val="none"/>
          <w:u w:val="single"/>
        </w:rPr>
        <w:t xml:space="preserve">     </w:t>
      </w:r>
      <w:r>
        <w:rPr>
          <w:rFonts w:hint="eastAsia" w:ascii="宋体" w:eastAsia="宋体"/>
          <w:color w:val="auto"/>
          <w:sz w:val="28"/>
          <w:szCs w:val="28"/>
          <w:highlight w:val="none"/>
        </w:rPr>
        <w:t>（工程名称）的投标。代理人在该工程招投标活动中的一切事务，我均予以承认。</w:t>
      </w:r>
    </w:p>
    <w:p w14:paraId="45B9555D">
      <w:pPr>
        <w:adjustRightInd w:val="0"/>
        <w:snapToGrid w:val="0"/>
        <w:spacing w:line="480" w:lineRule="auto"/>
        <w:ind w:firstLine="560" w:firstLineChars="200"/>
        <w:rPr>
          <w:rFonts w:hint="eastAsia" w:ascii="宋体" w:eastAsia="宋体"/>
          <w:color w:val="auto"/>
          <w:sz w:val="28"/>
          <w:szCs w:val="28"/>
          <w:highlight w:val="none"/>
        </w:rPr>
      </w:pPr>
      <w:r>
        <w:rPr>
          <w:rFonts w:hint="eastAsia" w:ascii="宋体" w:eastAsia="宋体"/>
          <w:color w:val="auto"/>
          <w:sz w:val="28"/>
          <w:szCs w:val="28"/>
          <w:highlight w:val="none"/>
        </w:rPr>
        <w:t>代理人无转委权，特此委托。</w:t>
      </w:r>
    </w:p>
    <w:p w14:paraId="48B0A3D9">
      <w:pPr>
        <w:adjustRightInd w:val="0"/>
        <w:snapToGrid w:val="0"/>
        <w:spacing w:before="120" w:beforeLines="50" w:line="360" w:lineRule="auto"/>
        <w:rPr>
          <w:rFonts w:hint="eastAsia" w:ascii="宋体" w:eastAsia="宋体"/>
          <w:color w:val="auto"/>
          <w:sz w:val="28"/>
          <w:szCs w:val="28"/>
          <w:highlight w:val="none"/>
        </w:rPr>
      </w:pPr>
    </w:p>
    <w:p w14:paraId="2681FD7C">
      <w:pPr>
        <w:adjustRightInd w:val="0"/>
        <w:snapToGrid w:val="0"/>
        <w:spacing w:before="120" w:beforeLines="50" w:line="360" w:lineRule="auto"/>
        <w:rPr>
          <w:rFonts w:hint="eastAsia" w:ascii="宋体" w:eastAsia="宋体"/>
          <w:color w:val="auto"/>
          <w:sz w:val="28"/>
          <w:szCs w:val="28"/>
          <w:highlight w:val="none"/>
        </w:rPr>
      </w:pPr>
    </w:p>
    <w:p w14:paraId="228F3254">
      <w:pPr>
        <w:adjustRightInd w:val="0"/>
        <w:snapToGrid w:val="0"/>
        <w:spacing w:before="120" w:beforeLines="50" w:line="360" w:lineRule="auto"/>
        <w:rPr>
          <w:rFonts w:hint="eastAsia" w:ascii="宋体" w:eastAsia="宋体"/>
          <w:color w:val="auto"/>
          <w:sz w:val="28"/>
          <w:szCs w:val="28"/>
          <w:highlight w:val="none"/>
        </w:rPr>
      </w:pPr>
    </w:p>
    <w:p w14:paraId="583D718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eastAsia="宋体"/>
          <w:color w:val="auto"/>
          <w:sz w:val="28"/>
          <w:szCs w:val="28"/>
          <w:highlight w:val="none"/>
        </w:rPr>
      </w:pPr>
      <w:r>
        <w:rPr>
          <w:rFonts w:hint="eastAsia" w:ascii="宋体" w:eastAsia="宋体"/>
          <w:color w:val="auto"/>
          <w:sz w:val="28"/>
          <w:szCs w:val="28"/>
          <w:highlight w:val="none"/>
        </w:rPr>
        <w:t>投标人（盖章）：</w:t>
      </w:r>
      <w:r>
        <w:rPr>
          <w:rFonts w:hint="eastAsia" w:ascii="宋体" w:eastAsia="宋体"/>
          <w:color w:val="auto"/>
          <w:sz w:val="28"/>
          <w:szCs w:val="28"/>
          <w:highlight w:val="none"/>
          <w:u w:val="single"/>
        </w:rPr>
        <w:t xml:space="preserve">                                         </w:t>
      </w:r>
    </w:p>
    <w:p w14:paraId="69FDA1D0">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eastAsia="宋体"/>
          <w:color w:val="auto"/>
          <w:sz w:val="28"/>
          <w:szCs w:val="28"/>
          <w:highlight w:val="none"/>
        </w:rPr>
      </w:pPr>
      <w:r>
        <w:rPr>
          <w:rFonts w:hint="eastAsia" w:ascii="宋体" w:eastAsia="宋体"/>
          <w:color w:val="auto"/>
          <w:sz w:val="28"/>
          <w:szCs w:val="28"/>
          <w:highlight w:val="none"/>
        </w:rPr>
        <w:t>法定代表人（签字或盖章）：</w:t>
      </w:r>
      <w:r>
        <w:rPr>
          <w:rFonts w:hint="eastAsia" w:ascii="宋体" w:eastAsia="宋体"/>
          <w:color w:val="auto"/>
          <w:sz w:val="28"/>
          <w:szCs w:val="28"/>
          <w:highlight w:val="none"/>
          <w:u w:val="single"/>
        </w:rPr>
        <w:t xml:space="preserve">                                     </w:t>
      </w:r>
    </w:p>
    <w:p w14:paraId="10FB4A7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eastAsia="宋体"/>
          <w:color w:val="auto"/>
          <w:sz w:val="28"/>
          <w:szCs w:val="28"/>
          <w:highlight w:val="none"/>
          <w:u w:val="single"/>
        </w:rPr>
      </w:pPr>
      <w:r>
        <w:rPr>
          <w:rFonts w:hint="eastAsia" w:ascii="宋体" w:eastAsia="宋体"/>
          <w:color w:val="auto"/>
          <w:sz w:val="28"/>
          <w:szCs w:val="28"/>
          <w:highlight w:val="none"/>
        </w:rPr>
        <w:t>代理人：</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性别：</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年龄</w:t>
      </w:r>
      <w:r>
        <w:rPr>
          <w:rFonts w:hint="eastAsia" w:ascii="宋体" w:eastAsia="宋体"/>
          <w:color w:val="auto"/>
          <w:sz w:val="28"/>
          <w:szCs w:val="28"/>
          <w:highlight w:val="none"/>
          <w:u w:val="single"/>
        </w:rPr>
        <w:t xml:space="preserve">          </w:t>
      </w:r>
    </w:p>
    <w:p w14:paraId="711C7AD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eastAsia="宋体"/>
          <w:color w:val="auto"/>
          <w:sz w:val="28"/>
          <w:szCs w:val="28"/>
          <w:highlight w:val="none"/>
          <w:u w:val="single"/>
        </w:rPr>
      </w:pPr>
      <w:r>
        <w:rPr>
          <w:rFonts w:hint="eastAsia" w:ascii="宋体" w:eastAsia="宋体"/>
          <w:color w:val="auto"/>
          <w:sz w:val="28"/>
          <w:szCs w:val="28"/>
          <w:highlight w:val="none"/>
        </w:rPr>
        <w:t>身份证号码：</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职务：</w:t>
      </w:r>
      <w:r>
        <w:rPr>
          <w:rFonts w:hint="eastAsia" w:ascii="宋体" w:eastAsia="宋体"/>
          <w:color w:val="auto"/>
          <w:sz w:val="28"/>
          <w:szCs w:val="28"/>
          <w:highlight w:val="none"/>
          <w:u w:val="single"/>
        </w:rPr>
        <w:t xml:space="preserve">                    </w:t>
      </w:r>
    </w:p>
    <w:p w14:paraId="56592478">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color w:val="auto"/>
        </w:rPr>
      </w:pPr>
      <w:r>
        <w:rPr>
          <w:rFonts w:hint="eastAsia" w:ascii="宋体" w:eastAsia="宋体"/>
          <w:color w:val="auto"/>
          <w:sz w:val="28"/>
          <w:szCs w:val="28"/>
          <w:highlight w:val="none"/>
        </w:rPr>
        <w:t>授权委托日期：</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年</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月</w:t>
      </w:r>
      <w:r>
        <w:rPr>
          <w:rFonts w:hint="eastAsia" w:ascii="宋体" w:eastAsia="宋体"/>
          <w:color w:val="auto"/>
          <w:sz w:val="28"/>
          <w:szCs w:val="28"/>
          <w:highlight w:val="none"/>
          <w:u w:val="single"/>
        </w:rPr>
        <w:t xml:space="preserve">            </w:t>
      </w:r>
      <w:r>
        <w:rPr>
          <w:rFonts w:hint="eastAsia" w:ascii="宋体" w:eastAsia="宋体"/>
          <w:color w:val="auto"/>
          <w:sz w:val="28"/>
          <w:szCs w:val="28"/>
          <w:highlight w:val="none"/>
        </w:rPr>
        <w:t>日</w:t>
      </w:r>
    </w:p>
    <w:sectPr>
      <w:footnotePr>
        <w:numRestart w:val="eachPage"/>
      </w:footnotePr>
      <w:endnotePr>
        <w:numRestart w:val="eachSect"/>
      </w:endnotePr>
      <w:pgSz w:w="11907" w:h="16840"/>
      <w:pgMar w:top="1247" w:right="1361" w:bottom="1247" w:left="1361" w:header="851" w:footer="838" w:gutter="0"/>
      <w:cols w:space="720"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78279">
    <w:pPr>
      <w:pStyle w:val="30"/>
      <w:pBdr>
        <w:top w:val="none" w:color="auto" w:sz="0" w:space="1"/>
      </w:pBdr>
      <w:jc w:val="center"/>
      <w:rPr>
        <w:rFonts w:hint="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30E2B">
    <w:pPr>
      <w:pStyle w:val="30"/>
      <w:pBdr>
        <w:top w:val="none" w:color="auto" w:sz="0" w:space="1"/>
      </w:pBdr>
      <w:jc w:val="center"/>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D33F06">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JI2cY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MoW5XoQ3hwTNlF6yxVG2Kkwjqywm9Yr78Tje8m6/V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qEkjZxgEAAJoDAAAOAAAAAAAAAAEAIAAAAB4BAABkcnMvZTJvRG9jLnht&#10;bFBLBQYAAAAABgAGAFkBAABWBQAAAAA=&#10;">
              <v:fill on="f" focussize="0,0"/>
              <v:stroke on="f"/>
              <v:imagedata o:title=""/>
              <o:lock v:ext="edit" aspectratio="f"/>
              <v:textbox inset="0mm,0mm,0mm,0mm" style="mso-fit-shape-to-text:t;">
                <w:txbxContent>
                  <w:p w14:paraId="2ED33F06">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B4A1">
    <w:pPr>
      <w:pStyle w:val="30"/>
      <w:rPr>
        <w:rFonts w:hint="eastAsia"/>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9EE3E4">
                          <w:pPr>
                            <w:pStyle w:val="30"/>
                            <w:rPr>
                              <w:rStyle w:val="49"/>
                            </w:rPr>
                          </w:pPr>
                          <w:r>
                            <w:fldChar w:fldCharType="begin"/>
                          </w:r>
                          <w:r>
                            <w:rPr>
                              <w:rStyle w:val="49"/>
                            </w:rPr>
                            <w:instrText xml:space="preserve">PAGE  </w:instrText>
                          </w:r>
                          <w:r>
                            <w:fldChar w:fldCharType="separate"/>
                          </w:r>
                          <w:r>
                            <w:rPr>
                              <w:rStyle w:val="49"/>
                            </w:rPr>
                            <w:t>46</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7B2cM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TsHZwyQEAAJoDAAAOAAAAAAAAAAEAIAAAAB4BAABkcnMvZTJvRG9j&#10;LnhtbFBLBQYAAAAABgAGAFkBAABZBQAAAAA=&#10;">
              <v:fill on="f" focussize="0,0"/>
              <v:stroke on="f"/>
              <v:imagedata o:title=""/>
              <o:lock v:ext="edit" aspectratio="f"/>
              <v:textbox inset="0mm,0mm,0mm,0mm" style="mso-fit-shape-to-text:t;">
                <w:txbxContent>
                  <w:p w14:paraId="379EE3E4">
                    <w:pPr>
                      <w:pStyle w:val="30"/>
                      <w:rPr>
                        <w:rStyle w:val="49"/>
                      </w:rPr>
                    </w:pPr>
                    <w:r>
                      <w:fldChar w:fldCharType="begin"/>
                    </w:r>
                    <w:r>
                      <w:rPr>
                        <w:rStyle w:val="49"/>
                      </w:rPr>
                      <w:instrText xml:space="preserve">PAGE  </w:instrText>
                    </w:r>
                    <w:r>
                      <w:fldChar w:fldCharType="separate"/>
                    </w:r>
                    <w:r>
                      <w:rPr>
                        <w:rStyle w:val="49"/>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B84DC">
    <w:pPr>
      <w:pStyle w:val="31"/>
      <w:pBdr>
        <w:bottom w:val="none" w:color="auto" w:sz="0" w:space="1"/>
      </w:pBdr>
      <w:jc w:val="both"/>
      <w:rPr>
        <w:rFonts w:hint="default" w:ascii="宋体" w:hAnsi="宋体" w:eastAsia="宋体" w:cs="宋体"/>
        <w:i/>
        <w:iCs/>
        <w:u w:val="single"/>
        <w:lang w:val="en-US" w:eastAsia="zh-CN"/>
      </w:rPr>
    </w:pPr>
    <w:r>
      <w:rPr>
        <w:rFonts w:hint="eastAsia" w:ascii="宋体" w:hAnsi="宋体" w:eastAsia="宋体" w:cs="宋体"/>
        <w:i/>
        <w:iCs/>
        <w:u w:val="single"/>
      </w:rPr>
      <w:t>天和大厦钢结构除锈工程</w:t>
    </w:r>
    <w:r>
      <w:rPr>
        <w:rFonts w:hint="eastAsia" w:ascii="宋体" w:hAnsi="宋体" w:eastAsia="宋体" w:cs="宋体"/>
        <w:i/>
        <w:iCs/>
        <w:u w:val="single"/>
        <w:lang w:eastAsia="zh-CN"/>
      </w:rPr>
      <w:t>（</w:t>
    </w:r>
    <w:r>
      <w:rPr>
        <w:rFonts w:hint="eastAsia" w:ascii="宋体" w:hAnsi="宋体" w:eastAsia="宋体" w:cs="宋体"/>
        <w:i/>
        <w:iCs/>
        <w:u w:val="single"/>
        <w:lang w:val="en-US" w:eastAsia="zh-CN"/>
      </w:rPr>
      <w:t xml:space="preserve">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18A7">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BBCA0">
    <w:pPr>
      <w:pStyle w:val="31"/>
      <w:jc w:val="left"/>
      <w:rPr>
        <w:rFonts w:hint="eastAsia" w:ascii="宋体" w:hAnsi="宋体" w:eastAsia="宋体" w:cs="宋体"/>
        <w:i/>
        <w:iCs/>
        <w:lang w:eastAsia="zh-CN"/>
      </w:rPr>
    </w:pPr>
  </w:p>
  <w:p w14:paraId="4B7EA31F">
    <w:pPr>
      <w:pStyle w:val="31"/>
      <w:jc w:val="left"/>
      <w:rPr>
        <w:rFonts w:hint="eastAsia" w:ascii="宋体" w:hAnsi="宋体" w:eastAsia="宋体" w:cs="宋体"/>
        <w:i/>
        <w:iCs/>
        <w:lang w:eastAsia="zh-CN"/>
      </w:rPr>
    </w:pPr>
    <w:r>
      <w:rPr>
        <w:rFonts w:hint="eastAsia" w:ascii="宋体" w:hAnsi="宋体" w:eastAsia="宋体" w:cs="宋体"/>
        <w:i/>
        <w:iCs/>
        <w:lang w:eastAsia="zh-CN"/>
      </w:rPr>
      <w:t>天和大厦钢结构除锈工程招标文件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D14A">
    <w:pPr>
      <w:pStyle w:val="31"/>
      <w:pBdr>
        <w:bottom w:val="none" w:color="auto" w:sz="0" w:space="1"/>
      </w:pBdr>
      <w:jc w:val="both"/>
      <w:rPr>
        <w:rFonts w:hint="eastAsia"/>
      </w:rPr>
    </w:pPr>
    <w:r>
      <w:rPr>
        <w:rFonts w:hint="eastAsia" w:ascii="宋体" w:hAnsi="宋体" w:eastAsia="宋体" w:cs="宋体"/>
        <w:i/>
        <w:iCs/>
        <w:u w:val="single"/>
      </w:rPr>
      <w:t>天和大厦钢结构除锈工程</w:t>
    </w:r>
    <w:r>
      <w:rPr>
        <w:rFonts w:hint="eastAsia" w:ascii="宋体" w:hAnsi="宋体" w:eastAsia="宋体" w:cs="宋体"/>
        <w:i/>
        <w:iCs/>
        <w:u w:val="single"/>
        <w:lang w:eastAsia="zh-CN"/>
      </w:rPr>
      <w:t>（</w:t>
    </w:r>
    <w:r>
      <w:rPr>
        <w:rFonts w:hint="eastAsia" w:ascii="宋体" w:hAnsi="宋体" w:eastAsia="宋体" w:cs="宋体"/>
        <w:i/>
        <w:iCs/>
        <w:u w:val="single"/>
        <w:lang w:val="en-US" w:eastAsia="zh-CN"/>
      </w:rPr>
      <w:t xml:space="preserve">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F34E5">
    <w:pPr>
      <w:pStyle w:val="31"/>
      <w:pBdr>
        <w:bottom w:val="none" w:color="auto" w:sz="0" w:space="1"/>
      </w:pBdr>
      <w:jc w:val="both"/>
      <w:rPr>
        <w:rFonts w:hint="eastAsia"/>
      </w:rPr>
    </w:pPr>
    <w:r>
      <w:rPr>
        <w:rFonts w:hint="eastAsia" w:ascii="宋体" w:hAnsi="宋体" w:eastAsia="宋体" w:cs="宋体"/>
        <w:i/>
        <w:iCs/>
        <w:u w:val="single"/>
      </w:rPr>
      <w:t>天和大厦钢结构除锈工程</w:t>
    </w:r>
    <w:r>
      <w:rPr>
        <w:rFonts w:hint="eastAsia" w:ascii="宋体" w:hAnsi="宋体" w:eastAsia="宋体" w:cs="宋体"/>
        <w:i/>
        <w:iCs/>
        <w:u w:val="single"/>
        <w:lang w:eastAsia="zh-CN"/>
      </w:rPr>
      <w:t>（</w:t>
    </w:r>
    <w:r>
      <w:rPr>
        <w:rFonts w:hint="eastAsia" w:ascii="宋体" w:hAnsi="宋体" w:eastAsia="宋体" w:cs="宋体"/>
        <w:i/>
        <w:iCs/>
        <w:u w:val="single"/>
        <w:lang w:val="en-US" w:eastAsia="zh-CN"/>
      </w:rPr>
      <w:t xml:space="preserve">招标文件）                                                                    </w:t>
    </w:r>
  </w:p>
  <w:p w14:paraId="412D4732">
    <w:pPr>
      <w:pStyle w:val="31"/>
      <w:pBdr>
        <w:bottom w:val="none" w:color="auto" w:sz="0" w:space="1"/>
      </w:pBdr>
      <w:wordWrap w:val="0"/>
      <w:jc w:val="right"/>
      <w:rPr>
        <w:rFonts w:hint="eastAsia" w:eastAsia="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9B405">
    <w:pPr>
      <w:pStyle w:val="31"/>
      <w:jc w:val="right"/>
      <w:rPr>
        <w:rFonts w:ascii="宋体" w:hAnsi="宋体" w:eastAsia="宋体"/>
        <w:u w:val="single"/>
      </w:rPr>
    </w:pPr>
    <w:r>
      <w:rPr>
        <w:rFonts w:hint="eastAsia" w:ascii="宋体" w:hAnsi="宋体" w:eastAsia="宋体"/>
        <w:u w:val="single"/>
      </w:rPr>
      <w:t xml:space="preserve">                                            工程招标文件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689A7">
    <w:pPr>
      <w:pStyle w:val="31"/>
      <w:pBdr>
        <w:bottom w:val="none" w:color="auto" w:sz="0" w:space="1"/>
      </w:pBdr>
      <w:jc w:val="left"/>
      <w:rPr>
        <w:rFonts w:hint="eastAsia"/>
      </w:rPr>
    </w:pPr>
    <w:r>
      <w:rPr>
        <w:rFonts w:hint="eastAsia" w:ascii="宋体" w:hAnsi="宋体" w:eastAsia="宋体" w:cs="宋体"/>
        <w:i/>
        <w:iCs/>
        <w:u w:val="single"/>
      </w:rPr>
      <w:t>天和大厦钢结构除锈工程</w:t>
    </w:r>
    <w:r>
      <w:rPr>
        <w:rFonts w:hint="eastAsia" w:ascii="宋体" w:hAnsi="宋体" w:eastAsia="宋体" w:cs="宋体"/>
        <w:i/>
        <w:iCs/>
        <w:u w:val="single"/>
        <w:lang w:eastAsia="zh-CN"/>
      </w:rPr>
      <w:t>（</w:t>
    </w:r>
    <w:r>
      <w:rPr>
        <w:rFonts w:hint="eastAsia" w:ascii="宋体" w:hAnsi="宋体" w:eastAsia="宋体" w:cs="宋体"/>
        <w:i/>
        <w:iCs/>
        <w:u w:val="single"/>
        <w:lang w:val="en-US" w:eastAsia="zh-CN"/>
      </w:rPr>
      <w:t xml:space="preserve">招标文件）                                                                      </w:t>
    </w:r>
  </w:p>
  <w:p w14:paraId="3AF49414">
    <w:pPr>
      <w:pStyle w:val="31"/>
      <w:pBdr>
        <w:bottom w:val="none" w:color="auto" w:sz="0" w:space="1"/>
      </w:pBdr>
      <w:tabs>
        <w:tab w:val="left" w:pos="6937"/>
      </w:tabs>
      <w:jc w:val="left"/>
      <w:rPr>
        <w:rFonts w:hint="eastAsia" w:eastAsia="仿宋_GB231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B6DED"/>
    <w:multiLevelType w:val="singleLevel"/>
    <w:tmpl w:val="969B6DED"/>
    <w:lvl w:ilvl="0" w:tentative="0">
      <w:start w:val="1"/>
      <w:numFmt w:val="decimal"/>
      <w:suff w:val="nothing"/>
      <w:lvlText w:val="（%1）"/>
      <w:lvlJc w:val="left"/>
    </w:lvl>
  </w:abstractNum>
  <w:abstractNum w:abstractNumId="1">
    <w:nsid w:val="FD8662E7"/>
    <w:multiLevelType w:val="singleLevel"/>
    <w:tmpl w:val="FD8662E7"/>
    <w:lvl w:ilvl="0" w:tentative="0">
      <w:start w:val="1"/>
      <w:numFmt w:val="decimal"/>
      <w:suff w:val="nothing"/>
      <w:lvlText w:val="%1、"/>
      <w:lvlJc w:val="left"/>
    </w:lvl>
  </w:abstractNum>
  <w:abstractNum w:abstractNumId="2">
    <w:nsid w:val="0920A09A"/>
    <w:multiLevelType w:val="singleLevel"/>
    <w:tmpl w:val="0920A09A"/>
    <w:lvl w:ilvl="0" w:tentative="0">
      <w:start w:val="1"/>
      <w:numFmt w:val="bullet"/>
      <w:pStyle w:val="19"/>
      <w:lvlText w:val=""/>
      <w:lvlJc w:val="left"/>
      <w:pPr>
        <w:tabs>
          <w:tab w:val="left" w:pos="1200"/>
        </w:tabs>
        <w:ind w:left="1200" w:hanging="360"/>
      </w:pPr>
      <w:rPr>
        <w:rFonts w:hint="default" w:ascii="Wingdings" w:hAnsi="Wingdings"/>
      </w:rPr>
    </w:lvl>
  </w:abstractNum>
  <w:abstractNum w:abstractNumId="3">
    <w:nsid w:val="352D4B19"/>
    <w:multiLevelType w:val="multilevel"/>
    <w:tmpl w:val="352D4B19"/>
    <w:lvl w:ilvl="0" w:tentative="0">
      <w:start w:val="1"/>
      <w:numFmt w:val="japaneseCounting"/>
      <w:pStyle w:val="6"/>
      <w:lvlText w:val="第%1节"/>
      <w:lvlJc w:val="left"/>
      <w:pPr>
        <w:tabs>
          <w:tab w:val="left" w:pos="2159"/>
        </w:tabs>
        <w:ind w:left="2159" w:hanging="1320"/>
      </w:pPr>
      <w:rPr>
        <w:rFonts w:hint="eastAsia"/>
      </w:rPr>
    </w:lvl>
    <w:lvl w:ilvl="1" w:tentative="0">
      <w:start w:val="1"/>
      <w:numFmt w:val="lowerLetter"/>
      <w:lvlText w:val="%2)"/>
      <w:lvlJc w:val="left"/>
      <w:pPr>
        <w:tabs>
          <w:tab w:val="left" w:pos="1679"/>
        </w:tabs>
        <w:ind w:left="1679" w:hanging="420"/>
      </w:pPr>
    </w:lvl>
    <w:lvl w:ilvl="2" w:tentative="0">
      <w:start w:val="1"/>
      <w:numFmt w:val="lowerRoman"/>
      <w:lvlText w:val="%3."/>
      <w:lvlJc w:val="right"/>
      <w:pPr>
        <w:tabs>
          <w:tab w:val="left" w:pos="2099"/>
        </w:tabs>
        <w:ind w:left="2099" w:hanging="420"/>
      </w:pPr>
    </w:lvl>
    <w:lvl w:ilvl="3" w:tentative="0">
      <w:start w:val="1"/>
      <w:numFmt w:val="decimal"/>
      <w:lvlText w:val="%4."/>
      <w:lvlJc w:val="left"/>
      <w:pPr>
        <w:tabs>
          <w:tab w:val="left" w:pos="2519"/>
        </w:tabs>
        <w:ind w:left="2519" w:hanging="420"/>
      </w:pPr>
    </w:lvl>
    <w:lvl w:ilvl="4" w:tentative="0">
      <w:start w:val="1"/>
      <w:numFmt w:val="lowerLetter"/>
      <w:lvlText w:val="%5)"/>
      <w:lvlJc w:val="left"/>
      <w:pPr>
        <w:tabs>
          <w:tab w:val="left" w:pos="2939"/>
        </w:tabs>
        <w:ind w:left="2939" w:hanging="420"/>
      </w:pPr>
    </w:lvl>
    <w:lvl w:ilvl="5" w:tentative="0">
      <w:start w:val="1"/>
      <w:numFmt w:val="lowerRoman"/>
      <w:lvlText w:val="%6."/>
      <w:lvlJc w:val="right"/>
      <w:pPr>
        <w:tabs>
          <w:tab w:val="left" w:pos="3359"/>
        </w:tabs>
        <w:ind w:left="3359" w:hanging="420"/>
      </w:pPr>
    </w:lvl>
    <w:lvl w:ilvl="6" w:tentative="0">
      <w:start w:val="1"/>
      <w:numFmt w:val="decimal"/>
      <w:lvlText w:val="%7."/>
      <w:lvlJc w:val="left"/>
      <w:pPr>
        <w:tabs>
          <w:tab w:val="left" w:pos="3779"/>
        </w:tabs>
        <w:ind w:left="3779" w:hanging="420"/>
      </w:pPr>
    </w:lvl>
    <w:lvl w:ilvl="7" w:tentative="0">
      <w:start w:val="1"/>
      <w:numFmt w:val="lowerLetter"/>
      <w:lvlText w:val="%8)"/>
      <w:lvlJc w:val="left"/>
      <w:pPr>
        <w:tabs>
          <w:tab w:val="left" w:pos="4199"/>
        </w:tabs>
        <w:ind w:left="4199" w:hanging="420"/>
      </w:pPr>
    </w:lvl>
    <w:lvl w:ilvl="8" w:tentative="0">
      <w:start w:val="1"/>
      <w:numFmt w:val="lowerRoman"/>
      <w:lvlText w:val="%9."/>
      <w:lvlJc w:val="right"/>
      <w:pPr>
        <w:tabs>
          <w:tab w:val="left" w:pos="4619"/>
        </w:tabs>
        <w:ind w:left="4619" w:hanging="420"/>
      </w:pPr>
    </w:lvl>
  </w:abstractNum>
  <w:abstractNum w:abstractNumId="4">
    <w:nsid w:val="3A02150E"/>
    <w:multiLevelType w:val="multilevel"/>
    <w:tmpl w:val="3A02150E"/>
    <w:lvl w:ilvl="0" w:tentative="0">
      <w:start w:val="1"/>
      <w:numFmt w:val="decimal"/>
      <w:pStyle w:val="7"/>
      <w:suff w:val="nothing"/>
      <w:lvlText w:val="%1."/>
      <w:lvlJc w:val="left"/>
      <w:pPr>
        <w:ind w:left="1148" w:firstLine="0"/>
      </w:pPr>
      <w:rPr>
        <w:rFonts w:hint="eastAsia"/>
      </w:rPr>
    </w:lvl>
    <w:lvl w:ilvl="1" w:tentative="0">
      <w:start w:val="1"/>
      <w:numFmt w:val="decimal"/>
      <w:suff w:val="space"/>
      <w:lvlText w:val="%1.%2"/>
      <w:lvlJc w:val="left"/>
      <w:pPr>
        <w:ind w:left="-138" w:firstLine="425"/>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287"/>
  <w:drawingGridVerticalSpacing w:val="435"/>
  <w:displayHorizontalDrawingGridEvery w:val="1"/>
  <w:displayVerticalDrawingGridEvery w:val="1"/>
  <w:noPunctuationKerning w:val="1"/>
  <w:characterSpacingControl w:val="compressPunctuation"/>
  <w:footnotePr>
    <w:numRestart w:val="eachPage"/>
  </w:footnotePr>
  <w:endnotePr>
    <w:numRestart w:val="eachSect"/>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NDc2NmRmYjRiOTgxYmEzNjE3NWQ4NWUwMDZmYWQifQ=="/>
  </w:docVars>
  <w:rsids>
    <w:rsidRoot w:val="00767E22"/>
    <w:rsid w:val="000010D6"/>
    <w:rsid w:val="00001800"/>
    <w:rsid w:val="000024FB"/>
    <w:rsid w:val="0000339C"/>
    <w:rsid w:val="0000396D"/>
    <w:rsid w:val="000051D3"/>
    <w:rsid w:val="00011EB2"/>
    <w:rsid w:val="000148FA"/>
    <w:rsid w:val="000149A3"/>
    <w:rsid w:val="000154C3"/>
    <w:rsid w:val="00015A25"/>
    <w:rsid w:val="00017B18"/>
    <w:rsid w:val="00017D35"/>
    <w:rsid w:val="00017EC7"/>
    <w:rsid w:val="00020341"/>
    <w:rsid w:val="00020576"/>
    <w:rsid w:val="00020709"/>
    <w:rsid w:val="000240C7"/>
    <w:rsid w:val="00024B9C"/>
    <w:rsid w:val="00024CCC"/>
    <w:rsid w:val="00025AF5"/>
    <w:rsid w:val="000329FD"/>
    <w:rsid w:val="00032C48"/>
    <w:rsid w:val="00035EE1"/>
    <w:rsid w:val="0003705E"/>
    <w:rsid w:val="00037274"/>
    <w:rsid w:val="00040AD3"/>
    <w:rsid w:val="00040ECA"/>
    <w:rsid w:val="000415DA"/>
    <w:rsid w:val="00042640"/>
    <w:rsid w:val="00043C5A"/>
    <w:rsid w:val="00043C8C"/>
    <w:rsid w:val="00043DC1"/>
    <w:rsid w:val="00044300"/>
    <w:rsid w:val="0004470A"/>
    <w:rsid w:val="0004510F"/>
    <w:rsid w:val="00047BD5"/>
    <w:rsid w:val="0005123D"/>
    <w:rsid w:val="00051357"/>
    <w:rsid w:val="0005502B"/>
    <w:rsid w:val="000552B1"/>
    <w:rsid w:val="00057BED"/>
    <w:rsid w:val="00062CEB"/>
    <w:rsid w:val="000635A6"/>
    <w:rsid w:val="00065235"/>
    <w:rsid w:val="0006547E"/>
    <w:rsid w:val="00066F8F"/>
    <w:rsid w:val="0006735F"/>
    <w:rsid w:val="00067449"/>
    <w:rsid w:val="000700FB"/>
    <w:rsid w:val="000705FF"/>
    <w:rsid w:val="000713B5"/>
    <w:rsid w:val="0007240C"/>
    <w:rsid w:val="000813DF"/>
    <w:rsid w:val="00084E69"/>
    <w:rsid w:val="000855D6"/>
    <w:rsid w:val="00092312"/>
    <w:rsid w:val="0009234B"/>
    <w:rsid w:val="000942CF"/>
    <w:rsid w:val="00094C2C"/>
    <w:rsid w:val="000952C1"/>
    <w:rsid w:val="0009642C"/>
    <w:rsid w:val="00096E2E"/>
    <w:rsid w:val="00097FDF"/>
    <w:rsid w:val="000A0EF9"/>
    <w:rsid w:val="000A1652"/>
    <w:rsid w:val="000A2289"/>
    <w:rsid w:val="000A35D8"/>
    <w:rsid w:val="000A4343"/>
    <w:rsid w:val="000A52B2"/>
    <w:rsid w:val="000A5EDB"/>
    <w:rsid w:val="000A6558"/>
    <w:rsid w:val="000A71B5"/>
    <w:rsid w:val="000B0C67"/>
    <w:rsid w:val="000B40A8"/>
    <w:rsid w:val="000B7741"/>
    <w:rsid w:val="000C0C4B"/>
    <w:rsid w:val="000C1956"/>
    <w:rsid w:val="000C23A0"/>
    <w:rsid w:val="000C38CB"/>
    <w:rsid w:val="000C411C"/>
    <w:rsid w:val="000C61B0"/>
    <w:rsid w:val="000C7452"/>
    <w:rsid w:val="000C7ACF"/>
    <w:rsid w:val="000D0A57"/>
    <w:rsid w:val="000D1322"/>
    <w:rsid w:val="000D1E9D"/>
    <w:rsid w:val="000D422A"/>
    <w:rsid w:val="000D4ECC"/>
    <w:rsid w:val="000D726F"/>
    <w:rsid w:val="000E00EE"/>
    <w:rsid w:val="000E2016"/>
    <w:rsid w:val="000E554E"/>
    <w:rsid w:val="000E6DFE"/>
    <w:rsid w:val="000F16BC"/>
    <w:rsid w:val="000F2683"/>
    <w:rsid w:val="000F270C"/>
    <w:rsid w:val="000F33D4"/>
    <w:rsid w:val="000F54C3"/>
    <w:rsid w:val="000F7D39"/>
    <w:rsid w:val="0010084B"/>
    <w:rsid w:val="0010085B"/>
    <w:rsid w:val="00100CCF"/>
    <w:rsid w:val="00101BA7"/>
    <w:rsid w:val="00110277"/>
    <w:rsid w:val="00110AFB"/>
    <w:rsid w:val="001130D2"/>
    <w:rsid w:val="001134B4"/>
    <w:rsid w:val="00113B1C"/>
    <w:rsid w:val="00113E32"/>
    <w:rsid w:val="001151D1"/>
    <w:rsid w:val="00115CE4"/>
    <w:rsid w:val="001207F5"/>
    <w:rsid w:val="00121817"/>
    <w:rsid w:val="00121D1D"/>
    <w:rsid w:val="00122341"/>
    <w:rsid w:val="001226AB"/>
    <w:rsid w:val="00123C80"/>
    <w:rsid w:val="00123E0A"/>
    <w:rsid w:val="001241AB"/>
    <w:rsid w:val="001241EF"/>
    <w:rsid w:val="00124B97"/>
    <w:rsid w:val="00124E8E"/>
    <w:rsid w:val="001275EE"/>
    <w:rsid w:val="00131507"/>
    <w:rsid w:val="001321D0"/>
    <w:rsid w:val="00134540"/>
    <w:rsid w:val="0013477A"/>
    <w:rsid w:val="0013483A"/>
    <w:rsid w:val="00136941"/>
    <w:rsid w:val="00136960"/>
    <w:rsid w:val="00137461"/>
    <w:rsid w:val="001411E0"/>
    <w:rsid w:val="00142D56"/>
    <w:rsid w:val="00142F22"/>
    <w:rsid w:val="00143E8E"/>
    <w:rsid w:val="00145A91"/>
    <w:rsid w:val="00146BAD"/>
    <w:rsid w:val="00147EB6"/>
    <w:rsid w:val="00150698"/>
    <w:rsid w:val="001516BA"/>
    <w:rsid w:val="00151F9A"/>
    <w:rsid w:val="0015207C"/>
    <w:rsid w:val="00152785"/>
    <w:rsid w:val="00153161"/>
    <w:rsid w:val="001533B4"/>
    <w:rsid w:val="00153B4E"/>
    <w:rsid w:val="00154B9D"/>
    <w:rsid w:val="00157881"/>
    <w:rsid w:val="00162174"/>
    <w:rsid w:val="001652F4"/>
    <w:rsid w:val="0017180D"/>
    <w:rsid w:val="00175273"/>
    <w:rsid w:val="00176301"/>
    <w:rsid w:val="00177283"/>
    <w:rsid w:val="00177FD1"/>
    <w:rsid w:val="00180090"/>
    <w:rsid w:val="0018258D"/>
    <w:rsid w:val="00182A3C"/>
    <w:rsid w:val="00183000"/>
    <w:rsid w:val="0018349D"/>
    <w:rsid w:val="001918E2"/>
    <w:rsid w:val="0019308E"/>
    <w:rsid w:val="0019310A"/>
    <w:rsid w:val="00193110"/>
    <w:rsid w:val="0019489C"/>
    <w:rsid w:val="001A0FBC"/>
    <w:rsid w:val="001A15C6"/>
    <w:rsid w:val="001A1AEA"/>
    <w:rsid w:val="001A23C2"/>
    <w:rsid w:val="001A26C3"/>
    <w:rsid w:val="001A2E79"/>
    <w:rsid w:val="001A40ED"/>
    <w:rsid w:val="001A4F2B"/>
    <w:rsid w:val="001A74F1"/>
    <w:rsid w:val="001B0800"/>
    <w:rsid w:val="001B20A8"/>
    <w:rsid w:val="001B4656"/>
    <w:rsid w:val="001B4B80"/>
    <w:rsid w:val="001B515B"/>
    <w:rsid w:val="001B7E9F"/>
    <w:rsid w:val="001C008A"/>
    <w:rsid w:val="001C0752"/>
    <w:rsid w:val="001C101F"/>
    <w:rsid w:val="001C2514"/>
    <w:rsid w:val="001C26A9"/>
    <w:rsid w:val="001C390A"/>
    <w:rsid w:val="001C4952"/>
    <w:rsid w:val="001C5607"/>
    <w:rsid w:val="001C6ADA"/>
    <w:rsid w:val="001C6C08"/>
    <w:rsid w:val="001C6F71"/>
    <w:rsid w:val="001D00AF"/>
    <w:rsid w:val="001D06BC"/>
    <w:rsid w:val="001D07E1"/>
    <w:rsid w:val="001D0B68"/>
    <w:rsid w:val="001D1967"/>
    <w:rsid w:val="001D4003"/>
    <w:rsid w:val="001D500A"/>
    <w:rsid w:val="001E151C"/>
    <w:rsid w:val="001E1F91"/>
    <w:rsid w:val="001E1FC0"/>
    <w:rsid w:val="001E209B"/>
    <w:rsid w:val="001E2400"/>
    <w:rsid w:val="001E2420"/>
    <w:rsid w:val="001E2830"/>
    <w:rsid w:val="001E2F94"/>
    <w:rsid w:val="001E31EA"/>
    <w:rsid w:val="001E36E8"/>
    <w:rsid w:val="001E552C"/>
    <w:rsid w:val="001E5760"/>
    <w:rsid w:val="001E62F3"/>
    <w:rsid w:val="001E66A6"/>
    <w:rsid w:val="001E7DFF"/>
    <w:rsid w:val="001F0C84"/>
    <w:rsid w:val="001F17AC"/>
    <w:rsid w:val="001F363D"/>
    <w:rsid w:val="001F3BCB"/>
    <w:rsid w:val="001F4DEF"/>
    <w:rsid w:val="001F6A5B"/>
    <w:rsid w:val="001F74E3"/>
    <w:rsid w:val="001F77D2"/>
    <w:rsid w:val="002000B9"/>
    <w:rsid w:val="00205BB8"/>
    <w:rsid w:val="00205C7D"/>
    <w:rsid w:val="00206006"/>
    <w:rsid w:val="002063FB"/>
    <w:rsid w:val="002064C0"/>
    <w:rsid w:val="00207B15"/>
    <w:rsid w:val="00210F02"/>
    <w:rsid w:val="00211670"/>
    <w:rsid w:val="002117D1"/>
    <w:rsid w:val="00211E3E"/>
    <w:rsid w:val="0021371F"/>
    <w:rsid w:val="00214392"/>
    <w:rsid w:val="002165F1"/>
    <w:rsid w:val="00217A70"/>
    <w:rsid w:val="00221027"/>
    <w:rsid w:val="0022144F"/>
    <w:rsid w:val="00222432"/>
    <w:rsid w:val="00222BB9"/>
    <w:rsid w:val="00223467"/>
    <w:rsid w:val="00223D75"/>
    <w:rsid w:val="00223DC2"/>
    <w:rsid w:val="00225EC2"/>
    <w:rsid w:val="002300EE"/>
    <w:rsid w:val="00230284"/>
    <w:rsid w:val="00231A88"/>
    <w:rsid w:val="00232BFA"/>
    <w:rsid w:val="00232E88"/>
    <w:rsid w:val="00233C9B"/>
    <w:rsid w:val="002355EC"/>
    <w:rsid w:val="00235C45"/>
    <w:rsid w:val="00237330"/>
    <w:rsid w:val="00237A3C"/>
    <w:rsid w:val="00237E2B"/>
    <w:rsid w:val="00240A1A"/>
    <w:rsid w:val="00241AE9"/>
    <w:rsid w:val="00242D63"/>
    <w:rsid w:val="00243159"/>
    <w:rsid w:val="002437E4"/>
    <w:rsid w:val="00244144"/>
    <w:rsid w:val="002468A3"/>
    <w:rsid w:val="00251B46"/>
    <w:rsid w:val="00254245"/>
    <w:rsid w:val="002544E2"/>
    <w:rsid w:val="00254532"/>
    <w:rsid w:val="00254D21"/>
    <w:rsid w:val="0025566B"/>
    <w:rsid w:val="002557B5"/>
    <w:rsid w:val="00256E04"/>
    <w:rsid w:val="002575E6"/>
    <w:rsid w:val="00260743"/>
    <w:rsid w:val="00263C72"/>
    <w:rsid w:val="00264403"/>
    <w:rsid w:val="002649E7"/>
    <w:rsid w:val="00264E18"/>
    <w:rsid w:val="002727FB"/>
    <w:rsid w:val="002744C2"/>
    <w:rsid w:val="00274880"/>
    <w:rsid w:val="0027490B"/>
    <w:rsid w:val="002749C4"/>
    <w:rsid w:val="00274C71"/>
    <w:rsid w:val="00275333"/>
    <w:rsid w:val="00275BC1"/>
    <w:rsid w:val="0027635A"/>
    <w:rsid w:val="00281B32"/>
    <w:rsid w:val="00281BDF"/>
    <w:rsid w:val="002838A3"/>
    <w:rsid w:val="00286088"/>
    <w:rsid w:val="00286FB1"/>
    <w:rsid w:val="002873BB"/>
    <w:rsid w:val="00287425"/>
    <w:rsid w:val="00291F36"/>
    <w:rsid w:val="0029302D"/>
    <w:rsid w:val="0029312E"/>
    <w:rsid w:val="00293876"/>
    <w:rsid w:val="00293CDF"/>
    <w:rsid w:val="00295584"/>
    <w:rsid w:val="00295FCD"/>
    <w:rsid w:val="00297073"/>
    <w:rsid w:val="002A06C2"/>
    <w:rsid w:val="002A0F25"/>
    <w:rsid w:val="002A382F"/>
    <w:rsid w:val="002A3F87"/>
    <w:rsid w:val="002A4466"/>
    <w:rsid w:val="002A6783"/>
    <w:rsid w:val="002A6DDD"/>
    <w:rsid w:val="002A6E91"/>
    <w:rsid w:val="002A75A8"/>
    <w:rsid w:val="002A7C14"/>
    <w:rsid w:val="002A7FAE"/>
    <w:rsid w:val="002A7FE6"/>
    <w:rsid w:val="002B3859"/>
    <w:rsid w:val="002B4989"/>
    <w:rsid w:val="002B4C0E"/>
    <w:rsid w:val="002B531E"/>
    <w:rsid w:val="002B6AE2"/>
    <w:rsid w:val="002B6B12"/>
    <w:rsid w:val="002B7489"/>
    <w:rsid w:val="002B767A"/>
    <w:rsid w:val="002B79BD"/>
    <w:rsid w:val="002C0692"/>
    <w:rsid w:val="002C0707"/>
    <w:rsid w:val="002C152C"/>
    <w:rsid w:val="002C1711"/>
    <w:rsid w:val="002C3CF3"/>
    <w:rsid w:val="002C62F5"/>
    <w:rsid w:val="002C7D30"/>
    <w:rsid w:val="002D3302"/>
    <w:rsid w:val="002D37AF"/>
    <w:rsid w:val="002D4C0E"/>
    <w:rsid w:val="002D5334"/>
    <w:rsid w:val="002E1795"/>
    <w:rsid w:val="002E1B48"/>
    <w:rsid w:val="002E2588"/>
    <w:rsid w:val="002E27AA"/>
    <w:rsid w:val="002E3D79"/>
    <w:rsid w:val="002E4074"/>
    <w:rsid w:val="002E44E8"/>
    <w:rsid w:val="002E5F14"/>
    <w:rsid w:val="002E6D98"/>
    <w:rsid w:val="002F17EF"/>
    <w:rsid w:val="002F439F"/>
    <w:rsid w:val="002F5F3C"/>
    <w:rsid w:val="002F64B5"/>
    <w:rsid w:val="002F6D8B"/>
    <w:rsid w:val="002F7C3B"/>
    <w:rsid w:val="002F7D00"/>
    <w:rsid w:val="00301184"/>
    <w:rsid w:val="003012EE"/>
    <w:rsid w:val="003018C2"/>
    <w:rsid w:val="00302E39"/>
    <w:rsid w:val="003102D1"/>
    <w:rsid w:val="00310A7B"/>
    <w:rsid w:val="00311C9A"/>
    <w:rsid w:val="00312312"/>
    <w:rsid w:val="00314604"/>
    <w:rsid w:val="00315A63"/>
    <w:rsid w:val="00315D92"/>
    <w:rsid w:val="00317B5B"/>
    <w:rsid w:val="00321511"/>
    <w:rsid w:val="00322F39"/>
    <w:rsid w:val="003231F8"/>
    <w:rsid w:val="003234E5"/>
    <w:rsid w:val="003234FF"/>
    <w:rsid w:val="00323DE2"/>
    <w:rsid w:val="00323ED3"/>
    <w:rsid w:val="00324CE0"/>
    <w:rsid w:val="00324FC2"/>
    <w:rsid w:val="00325487"/>
    <w:rsid w:val="003271D4"/>
    <w:rsid w:val="003302FE"/>
    <w:rsid w:val="00330D14"/>
    <w:rsid w:val="0033201F"/>
    <w:rsid w:val="00333B7E"/>
    <w:rsid w:val="00333C12"/>
    <w:rsid w:val="00334F40"/>
    <w:rsid w:val="003359DE"/>
    <w:rsid w:val="003369AD"/>
    <w:rsid w:val="00341140"/>
    <w:rsid w:val="003423D0"/>
    <w:rsid w:val="00342400"/>
    <w:rsid w:val="0035100D"/>
    <w:rsid w:val="00351FA7"/>
    <w:rsid w:val="003523B3"/>
    <w:rsid w:val="003527E3"/>
    <w:rsid w:val="00353EA7"/>
    <w:rsid w:val="00356251"/>
    <w:rsid w:val="00361F6D"/>
    <w:rsid w:val="003632A6"/>
    <w:rsid w:val="003643C3"/>
    <w:rsid w:val="00364804"/>
    <w:rsid w:val="0036496A"/>
    <w:rsid w:val="00366E3F"/>
    <w:rsid w:val="00370D99"/>
    <w:rsid w:val="003710F3"/>
    <w:rsid w:val="0037221B"/>
    <w:rsid w:val="00372259"/>
    <w:rsid w:val="00375375"/>
    <w:rsid w:val="003768E8"/>
    <w:rsid w:val="003773CA"/>
    <w:rsid w:val="003778A3"/>
    <w:rsid w:val="00380053"/>
    <w:rsid w:val="00382839"/>
    <w:rsid w:val="003843EA"/>
    <w:rsid w:val="003844BB"/>
    <w:rsid w:val="0038457D"/>
    <w:rsid w:val="00391312"/>
    <w:rsid w:val="00391905"/>
    <w:rsid w:val="00392282"/>
    <w:rsid w:val="003937F3"/>
    <w:rsid w:val="003951A3"/>
    <w:rsid w:val="00395BBE"/>
    <w:rsid w:val="003979C5"/>
    <w:rsid w:val="003A0787"/>
    <w:rsid w:val="003A0DD3"/>
    <w:rsid w:val="003A13BF"/>
    <w:rsid w:val="003A41C1"/>
    <w:rsid w:val="003A4970"/>
    <w:rsid w:val="003A4FFD"/>
    <w:rsid w:val="003A57EE"/>
    <w:rsid w:val="003A6183"/>
    <w:rsid w:val="003A76F4"/>
    <w:rsid w:val="003A7EC0"/>
    <w:rsid w:val="003B148A"/>
    <w:rsid w:val="003B1A92"/>
    <w:rsid w:val="003B2578"/>
    <w:rsid w:val="003B4E54"/>
    <w:rsid w:val="003B5E85"/>
    <w:rsid w:val="003B61B2"/>
    <w:rsid w:val="003B7B86"/>
    <w:rsid w:val="003C069E"/>
    <w:rsid w:val="003C193C"/>
    <w:rsid w:val="003C3144"/>
    <w:rsid w:val="003C4EA0"/>
    <w:rsid w:val="003C68A3"/>
    <w:rsid w:val="003C7101"/>
    <w:rsid w:val="003C775D"/>
    <w:rsid w:val="003C7838"/>
    <w:rsid w:val="003C7EC0"/>
    <w:rsid w:val="003D1430"/>
    <w:rsid w:val="003D1903"/>
    <w:rsid w:val="003D2B1B"/>
    <w:rsid w:val="003D3DC8"/>
    <w:rsid w:val="003D471E"/>
    <w:rsid w:val="003D49DD"/>
    <w:rsid w:val="003D5DB6"/>
    <w:rsid w:val="003D61C8"/>
    <w:rsid w:val="003D67C6"/>
    <w:rsid w:val="003E044D"/>
    <w:rsid w:val="003E0718"/>
    <w:rsid w:val="003E09D2"/>
    <w:rsid w:val="003E128D"/>
    <w:rsid w:val="003E1BE4"/>
    <w:rsid w:val="003E2383"/>
    <w:rsid w:val="003E3322"/>
    <w:rsid w:val="003E6144"/>
    <w:rsid w:val="003F0CCA"/>
    <w:rsid w:val="003F235B"/>
    <w:rsid w:val="003F2727"/>
    <w:rsid w:val="003F4696"/>
    <w:rsid w:val="003F6547"/>
    <w:rsid w:val="003F71B8"/>
    <w:rsid w:val="004006F8"/>
    <w:rsid w:val="00400A16"/>
    <w:rsid w:val="004022AE"/>
    <w:rsid w:val="0040303E"/>
    <w:rsid w:val="004037C4"/>
    <w:rsid w:val="0040391D"/>
    <w:rsid w:val="004044A6"/>
    <w:rsid w:val="0040532D"/>
    <w:rsid w:val="004063BF"/>
    <w:rsid w:val="00406BC7"/>
    <w:rsid w:val="0040750A"/>
    <w:rsid w:val="00407A23"/>
    <w:rsid w:val="00410738"/>
    <w:rsid w:val="004117BD"/>
    <w:rsid w:val="004143ED"/>
    <w:rsid w:val="00415809"/>
    <w:rsid w:val="00421FE5"/>
    <w:rsid w:val="004241EF"/>
    <w:rsid w:val="004243C3"/>
    <w:rsid w:val="004245FE"/>
    <w:rsid w:val="00426A31"/>
    <w:rsid w:val="00426C77"/>
    <w:rsid w:val="00431218"/>
    <w:rsid w:val="004313FB"/>
    <w:rsid w:val="004319F5"/>
    <w:rsid w:val="00433083"/>
    <w:rsid w:val="00433EE2"/>
    <w:rsid w:val="004347F8"/>
    <w:rsid w:val="0043544F"/>
    <w:rsid w:val="004368F8"/>
    <w:rsid w:val="00444ECC"/>
    <w:rsid w:val="00444F48"/>
    <w:rsid w:val="0044517D"/>
    <w:rsid w:val="004456A1"/>
    <w:rsid w:val="004458B2"/>
    <w:rsid w:val="0044615C"/>
    <w:rsid w:val="00447C7D"/>
    <w:rsid w:val="00450077"/>
    <w:rsid w:val="004511CF"/>
    <w:rsid w:val="004514C0"/>
    <w:rsid w:val="00453034"/>
    <w:rsid w:val="00456881"/>
    <w:rsid w:val="00456A8B"/>
    <w:rsid w:val="00456BD4"/>
    <w:rsid w:val="00460884"/>
    <w:rsid w:val="00461153"/>
    <w:rsid w:val="0046155D"/>
    <w:rsid w:val="004619EA"/>
    <w:rsid w:val="00465447"/>
    <w:rsid w:val="00465DBB"/>
    <w:rsid w:val="00467BE8"/>
    <w:rsid w:val="00467CDE"/>
    <w:rsid w:val="00471392"/>
    <w:rsid w:val="00471AEF"/>
    <w:rsid w:val="00474685"/>
    <w:rsid w:val="00476F02"/>
    <w:rsid w:val="00481DEB"/>
    <w:rsid w:val="004828C9"/>
    <w:rsid w:val="004830C1"/>
    <w:rsid w:val="00484213"/>
    <w:rsid w:val="004864D8"/>
    <w:rsid w:val="00490236"/>
    <w:rsid w:val="00490605"/>
    <w:rsid w:val="00491B9A"/>
    <w:rsid w:val="00491D25"/>
    <w:rsid w:val="0049265A"/>
    <w:rsid w:val="00492B95"/>
    <w:rsid w:val="0049571C"/>
    <w:rsid w:val="00497F9E"/>
    <w:rsid w:val="004A0618"/>
    <w:rsid w:val="004A1244"/>
    <w:rsid w:val="004A204E"/>
    <w:rsid w:val="004A25E6"/>
    <w:rsid w:val="004A3996"/>
    <w:rsid w:val="004A3D12"/>
    <w:rsid w:val="004A4A95"/>
    <w:rsid w:val="004A51E4"/>
    <w:rsid w:val="004A54D6"/>
    <w:rsid w:val="004A7775"/>
    <w:rsid w:val="004B0358"/>
    <w:rsid w:val="004B049E"/>
    <w:rsid w:val="004B1077"/>
    <w:rsid w:val="004B2A87"/>
    <w:rsid w:val="004B2D62"/>
    <w:rsid w:val="004B3640"/>
    <w:rsid w:val="004B4092"/>
    <w:rsid w:val="004B4FF1"/>
    <w:rsid w:val="004B6E1D"/>
    <w:rsid w:val="004B6F88"/>
    <w:rsid w:val="004B73A1"/>
    <w:rsid w:val="004B761D"/>
    <w:rsid w:val="004C0A58"/>
    <w:rsid w:val="004C0B1F"/>
    <w:rsid w:val="004C2748"/>
    <w:rsid w:val="004C2B31"/>
    <w:rsid w:val="004C2BF7"/>
    <w:rsid w:val="004C2C87"/>
    <w:rsid w:val="004C3673"/>
    <w:rsid w:val="004C6743"/>
    <w:rsid w:val="004C7D31"/>
    <w:rsid w:val="004C7F5E"/>
    <w:rsid w:val="004D0FBB"/>
    <w:rsid w:val="004D1AB7"/>
    <w:rsid w:val="004D1D94"/>
    <w:rsid w:val="004D37EA"/>
    <w:rsid w:val="004D3B86"/>
    <w:rsid w:val="004D42F8"/>
    <w:rsid w:val="004D4A20"/>
    <w:rsid w:val="004D5ECA"/>
    <w:rsid w:val="004E0196"/>
    <w:rsid w:val="004E0561"/>
    <w:rsid w:val="004E133E"/>
    <w:rsid w:val="004E163D"/>
    <w:rsid w:val="004E3385"/>
    <w:rsid w:val="004E36B1"/>
    <w:rsid w:val="004E5BBB"/>
    <w:rsid w:val="004E691B"/>
    <w:rsid w:val="004E6F1E"/>
    <w:rsid w:val="004E716F"/>
    <w:rsid w:val="004E7BD7"/>
    <w:rsid w:val="004F0852"/>
    <w:rsid w:val="004F0EA0"/>
    <w:rsid w:val="004F0EF5"/>
    <w:rsid w:val="004F3EA3"/>
    <w:rsid w:val="004F6F25"/>
    <w:rsid w:val="004F7182"/>
    <w:rsid w:val="004F78AB"/>
    <w:rsid w:val="00502066"/>
    <w:rsid w:val="00505941"/>
    <w:rsid w:val="0050653C"/>
    <w:rsid w:val="005070B8"/>
    <w:rsid w:val="00507A12"/>
    <w:rsid w:val="005109F9"/>
    <w:rsid w:val="0051265B"/>
    <w:rsid w:val="005140F5"/>
    <w:rsid w:val="0051426F"/>
    <w:rsid w:val="0051499F"/>
    <w:rsid w:val="00514D7F"/>
    <w:rsid w:val="00514DA8"/>
    <w:rsid w:val="005155B3"/>
    <w:rsid w:val="00515AC1"/>
    <w:rsid w:val="00517F8C"/>
    <w:rsid w:val="00521089"/>
    <w:rsid w:val="00523FC7"/>
    <w:rsid w:val="00524922"/>
    <w:rsid w:val="0052493B"/>
    <w:rsid w:val="00525210"/>
    <w:rsid w:val="00527BB7"/>
    <w:rsid w:val="00527EE2"/>
    <w:rsid w:val="005300F6"/>
    <w:rsid w:val="005307CC"/>
    <w:rsid w:val="00531574"/>
    <w:rsid w:val="00531BB5"/>
    <w:rsid w:val="00533DC9"/>
    <w:rsid w:val="005346C2"/>
    <w:rsid w:val="00534927"/>
    <w:rsid w:val="005352B5"/>
    <w:rsid w:val="00535E96"/>
    <w:rsid w:val="0053730A"/>
    <w:rsid w:val="005407AF"/>
    <w:rsid w:val="005422A1"/>
    <w:rsid w:val="0054464C"/>
    <w:rsid w:val="00545355"/>
    <w:rsid w:val="005463E6"/>
    <w:rsid w:val="00547116"/>
    <w:rsid w:val="005519B8"/>
    <w:rsid w:val="00552B9A"/>
    <w:rsid w:val="00553056"/>
    <w:rsid w:val="005544C3"/>
    <w:rsid w:val="00554CD4"/>
    <w:rsid w:val="00557451"/>
    <w:rsid w:val="00561493"/>
    <w:rsid w:val="005623A7"/>
    <w:rsid w:val="00562770"/>
    <w:rsid w:val="00562F7B"/>
    <w:rsid w:val="00563F66"/>
    <w:rsid w:val="00565542"/>
    <w:rsid w:val="00565C9B"/>
    <w:rsid w:val="005660A6"/>
    <w:rsid w:val="00566129"/>
    <w:rsid w:val="00566599"/>
    <w:rsid w:val="00566DD9"/>
    <w:rsid w:val="00566F6D"/>
    <w:rsid w:val="00570010"/>
    <w:rsid w:val="0057229D"/>
    <w:rsid w:val="00573C30"/>
    <w:rsid w:val="00573FF4"/>
    <w:rsid w:val="0057698E"/>
    <w:rsid w:val="00581DA1"/>
    <w:rsid w:val="00583A7C"/>
    <w:rsid w:val="00585AA0"/>
    <w:rsid w:val="005874EB"/>
    <w:rsid w:val="00587B4B"/>
    <w:rsid w:val="00590B88"/>
    <w:rsid w:val="005918AC"/>
    <w:rsid w:val="0059198B"/>
    <w:rsid w:val="00591D6E"/>
    <w:rsid w:val="0059454F"/>
    <w:rsid w:val="005A0F11"/>
    <w:rsid w:val="005A1075"/>
    <w:rsid w:val="005A1B3B"/>
    <w:rsid w:val="005A26AE"/>
    <w:rsid w:val="005A3650"/>
    <w:rsid w:val="005A4D8D"/>
    <w:rsid w:val="005A4FB5"/>
    <w:rsid w:val="005A6E21"/>
    <w:rsid w:val="005A7448"/>
    <w:rsid w:val="005A7D12"/>
    <w:rsid w:val="005B09B1"/>
    <w:rsid w:val="005B18CD"/>
    <w:rsid w:val="005B3F66"/>
    <w:rsid w:val="005B43B2"/>
    <w:rsid w:val="005B4F7E"/>
    <w:rsid w:val="005B7184"/>
    <w:rsid w:val="005C0344"/>
    <w:rsid w:val="005C1118"/>
    <w:rsid w:val="005C188B"/>
    <w:rsid w:val="005C2373"/>
    <w:rsid w:val="005C4389"/>
    <w:rsid w:val="005C46DC"/>
    <w:rsid w:val="005C6AE8"/>
    <w:rsid w:val="005C7114"/>
    <w:rsid w:val="005D182F"/>
    <w:rsid w:val="005D1971"/>
    <w:rsid w:val="005D2394"/>
    <w:rsid w:val="005D37FA"/>
    <w:rsid w:val="005D3D07"/>
    <w:rsid w:val="005D523A"/>
    <w:rsid w:val="005D55B0"/>
    <w:rsid w:val="005D6243"/>
    <w:rsid w:val="005D6570"/>
    <w:rsid w:val="005D6D2F"/>
    <w:rsid w:val="005D7916"/>
    <w:rsid w:val="005E0F61"/>
    <w:rsid w:val="005E186D"/>
    <w:rsid w:val="005E32A9"/>
    <w:rsid w:val="005E3D56"/>
    <w:rsid w:val="005E427C"/>
    <w:rsid w:val="005E471B"/>
    <w:rsid w:val="005E47CC"/>
    <w:rsid w:val="005E4E0B"/>
    <w:rsid w:val="005E6EED"/>
    <w:rsid w:val="005E6F2B"/>
    <w:rsid w:val="005E7C33"/>
    <w:rsid w:val="005E7DAD"/>
    <w:rsid w:val="005F1BB4"/>
    <w:rsid w:val="005F25F3"/>
    <w:rsid w:val="005F52D3"/>
    <w:rsid w:val="005F563E"/>
    <w:rsid w:val="005F6D66"/>
    <w:rsid w:val="005F72B1"/>
    <w:rsid w:val="006006D1"/>
    <w:rsid w:val="00600B31"/>
    <w:rsid w:val="0060159F"/>
    <w:rsid w:val="0060177E"/>
    <w:rsid w:val="00602D3D"/>
    <w:rsid w:val="00603256"/>
    <w:rsid w:val="006033FB"/>
    <w:rsid w:val="0060410C"/>
    <w:rsid w:val="006068A5"/>
    <w:rsid w:val="00613F49"/>
    <w:rsid w:val="00615183"/>
    <w:rsid w:val="00620284"/>
    <w:rsid w:val="00620A68"/>
    <w:rsid w:val="00621AB4"/>
    <w:rsid w:val="0062256C"/>
    <w:rsid w:val="006246CC"/>
    <w:rsid w:val="00627725"/>
    <w:rsid w:val="00630E7F"/>
    <w:rsid w:val="00631A58"/>
    <w:rsid w:val="00634322"/>
    <w:rsid w:val="006343D0"/>
    <w:rsid w:val="0063605F"/>
    <w:rsid w:val="0063671A"/>
    <w:rsid w:val="006400BD"/>
    <w:rsid w:val="00641988"/>
    <w:rsid w:val="00641B9F"/>
    <w:rsid w:val="0064687E"/>
    <w:rsid w:val="0065191D"/>
    <w:rsid w:val="00651D7C"/>
    <w:rsid w:val="006521A1"/>
    <w:rsid w:val="00653051"/>
    <w:rsid w:val="00655BE3"/>
    <w:rsid w:val="00655D35"/>
    <w:rsid w:val="00657017"/>
    <w:rsid w:val="00660658"/>
    <w:rsid w:val="00660989"/>
    <w:rsid w:val="006616CE"/>
    <w:rsid w:val="00661785"/>
    <w:rsid w:val="006618DC"/>
    <w:rsid w:val="00661B9B"/>
    <w:rsid w:val="006637EF"/>
    <w:rsid w:val="0066409D"/>
    <w:rsid w:val="00665242"/>
    <w:rsid w:val="00665271"/>
    <w:rsid w:val="0066569F"/>
    <w:rsid w:val="006662BB"/>
    <w:rsid w:val="00666F30"/>
    <w:rsid w:val="00667221"/>
    <w:rsid w:val="00671D84"/>
    <w:rsid w:val="00672312"/>
    <w:rsid w:val="00672431"/>
    <w:rsid w:val="00672C7B"/>
    <w:rsid w:val="00675301"/>
    <w:rsid w:val="00675DC5"/>
    <w:rsid w:val="006805EF"/>
    <w:rsid w:val="006811D4"/>
    <w:rsid w:val="00681729"/>
    <w:rsid w:val="00681F5C"/>
    <w:rsid w:val="006821C1"/>
    <w:rsid w:val="0068227A"/>
    <w:rsid w:val="006822A9"/>
    <w:rsid w:val="0068298E"/>
    <w:rsid w:val="006835F6"/>
    <w:rsid w:val="00683D71"/>
    <w:rsid w:val="00684AAB"/>
    <w:rsid w:val="006850A3"/>
    <w:rsid w:val="006850EC"/>
    <w:rsid w:val="00685D25"/>
    <w:rsid w:val="00690E1D"/>
    <w:rsid w:val="00691016"/>
    <w:rsid w:val="00693706"/>
    <w:rsid w:val="00693E4F"/>
    <w:rsid w:val="00694DED"/>
    <w:rsid w:val="006957FF"/>
    <w:rsid w:val="00696CDC"/>
    <w:rsid w:val="006A0188"/>
    <w:rsid w:val="006A0776"/>
    <w:rsid w:val="006A07AF"/>
    <w:rsid w:val="006A191B"/>
    <w:rsid w:val="006A1F6F"/>
    <w:rsid w:val="006A1FE6"/>
    <w:rsid w:val="006A446D"/>
    <w:rsid w:val="006A5F1D"/>
    <w:rsid w:val="006B0431"/>
    <w:rsid w:val="006B128D"/>
    <w:rsid w:val="006B2DDB"/>
    <w:rsid w:val="006B37A5"/>
    <w:rsid w:val="006B38B1"/>
    <w:rsid w:val="006B43C0"/>
    <w:rsid w:val="006B52D1"/>
    <w:rsid w:val="006B5AD7"/>
    <w:rsid w:val="006B701A"/>
    <w:rsid w:val="006B7553"/>
    <w:rsid w:val="006C0EB2"/>
    <w:rsid w:val="006C176D"/>
    <w:rsid w:val="006C38A3"/>
    <w:rsid w:val="006C3E84"/>
    <w:rsid w:val="006C48EA"/>
    <w:rsid w:val="006D13BE"/>
    <w:rsid w:val="006D1A4E"/>
    <w:rsid w:val="006D32F7"/>
    <w:rsid w:val="006D4711"/>
    <w:rsid w:val="006E016A"/>
    <w:rsid w:val="006E0538"/>
    <w:rsid w:val="006E0B08"/>
    <w:rsid w:val="006E1EAB"/>
    <w:rsid w:val="006E2B77"/>
    <w:rsid w:val="006E3CA5"/>
    <w:rsid w:val="006E3E25"/>
    <w:rsid w:val="006E6ADE"/>
    <w:rsid w:val="006F5E1B"/>
    <w:rsid w:val="006F6935"/>
    <w:rsid w:val="007002EC"/>
    <w:rsid w:val="00701BA6"/>
    <w:rsid w:val="00703B1B"/>
    <w:rsid w:val="0070487B"/>
    <w:rsid w:val="007067B3"/>
    <w:rsid w:val="007100BB"/>
    <w:rsid w:val="00710239"/>
    <w:rsid w:val="00712114"/>
    <w:rsid w:val="00712F16"/>
    <w:rsid w:val="00714565"/>
    <w:rsid w:val="00715161"/>
    <w:rsid w:val="00716C29"/>
    <w:rsid w:val="00717039"/>
    <w:rsid w:val="00720B08"/>
    <w:rsid w:val="0072153B"/>
    <w:rsid w:val="007232F4"/>
    <w:rsid w:val="00723682"/>
    <w:rsid w:val="00723D84"/>
    <w:rsid w:val="00724841"/>
    <w:rsid w:val="00724BDD"/>
    <w:rsid w:val="00726A3B"/>
    <w:rsid w:val="007305C0"/>
    <w:rsid w:val="00730F1B"/>
    <w:rsid w:val="007313E6"/>
    <w:rsid w:val="00733119"/>
    <w:rsid w:val="00733262"/>
    <w:rsid w:val="007335D1"/>
    <w:rsid w:val="00735781"/>
    <w:rsid w:val="00735980"/>
    <w:rsid w:val="00735F7E"/>
    <w:rsid w:val="00736E37"/>
    <w:rsid w:val="00737C66"/>
    <w:rsid w:val="00740C1F"/>
    <w:rsid w:val="0074341C"/>
    <w:rsid w:val="00743429"/>
    <w:rsid w:val="00743469"/>
    <w:rsid w:val="00744A9B"/>
    <w:rsid w:val="007450A7"/>
    <w:rsid w:val="00746B0A"/>
    <w:rsid w:val="00747BD5"/>
    <w:rsid w:val="007510F2"/>
    <w:rsid w:val="007517F3"/>
    <w:rsid w:val="007519DD"/>
    <w:rsid w:val="00752BA0"/>
    <w:rsid w:val="00752F01"/>
    <w:rsid w:val="00753B85"/>
    <w:rsid w:val="00755110"/>
    <w:rsid w:val="00755347"/>
    <w:rsid w:val="007561FF"/>
    <w:rsid w:val="007632C1"/>
    <w:rsid w:val="007664B2"/>
    <w:rsid w:val="00766AE8"/>
    <w:rsid w:val="007672C6"/>
    <w:rsid w:val="0076794F"/>
    <w:rsid w:val="00767E22"/>
    <w:rsid w:val="00771654"/>
    <w:rsid w:val="00772CEE"/>
    <w:rsid w:val="0077369E"/>
    <w:rsid w:val="0077473C"/>
    <w:rsid w:val="00774FC2"/>
    <w:rsid w:val="0077602B"/>
    <w:rsid w:val="007769DD"/>
    <w:rsid w:val="00777179"/>
    <w:rsid w:val="00782C84"/>
    <w:rsid w:val="00782DAE"/>
    <w:rsid w:val="00783609"/>
    <w:rsid w:val="00786D88"/>
    <w:rsid w:val="00792DAB"/>
    <w:rsid w:val="00792E6F"/>
    <w:rsid w:val="00792EC1"/>
    <w:rsid w:val="007958DA"/>
    <w:rsid w:val="007977BF"/>
    <w:rsid w:val="007A02B5"/>
    <w:rsid w:val="007A02D2"/>
    <w:rsid w:val="007A0330"/>
    <w:rsid w:val="007A3FBA"/>
    <w:rsid w:val="007A3FF5"/>
    <w:rsid w:val="007A4032"/>
    <w:rsid w:val="007A4266"/>
    <w:rsid w:val="007A6CC2"/>
    <w:rsid w:val="007A7E7F"/>
    <w:rsid w:val="007B03C6"/>
    <w:rsid w:val="007B0A22"/>
    <w:rsid w:val="007B15AF"/>
    <w:rsid w:val="007B4777"/>
    <w:rsid w:val="007B52DC"/>
    <w:rsid w:val="007B5542"/>
    <w:rsid w:val="007B5694"/>
    <w:rsid w:val="007B5B46"/>
    <w:rsid w:val="007B5D13"/>
    <w:rsid w:val="007C1AE9"/>
    <w:rsid w:val="007C2366"/>
    <w:rsid w:val="007C285E"/>
    <w:rsid w:val="007C34A9"/>
    <w:rsid w:val="007C38D0"/>
    <w:rsid w:val="007C3D3E"/>
    <w:rsid w:val="007C4EA0"/>
    <w:rsid w:val="007C64F0"/>
    <w:rsid w:val="007C683B"/>
    <w:rsid w:val="007C7DA8"/>
    <w:rsid w:val="007D10BC"/>
    <w:rsid w:val="007D291B"/>
    <w:rsid w:val="007D458E"/>
    <w:rsid w:val="007D5019"/>
    <w:rsid w:val="007D51AE"/>
    <w:rsid w:val="007D52F5"/>
    <w:rsid w:val="007D540B"/>
    <w:rsid w:val="007D638F"/>
    <w:rsid w:val="007D78FF"/>
    <w:rsid w:val="007E3E6B"/>
    <w:rsid w:val="007E75E0"/>
    <w:rsid w:val="007F05C3"/>
    <w:rsid w:val="007F0939"/>
    <w:rsid w:val="007F14A5"/>
    <w:rsid w:val="007F1F97"/>
    <w:rsid w:val="007F298C"/>
    <w:rsid w:val="007F4FB7"/>
    <w:rsid w:val="00801CE1"/>
    <w:rsid w:val="0080285C"/>
    <w:rsid w:val="00803AF0"/>
    <w:rsid w:val="0080453D"/>
    <w:rsid w:val="00806313"/>
    <w:rsid w:val="00807BE0"/>
    <w:rsid w:val="00811E67"/>
    <w:rsid w:val="00812549"/>
    <w:rsid w:val="00812896"/>
    <w:rsid w:val="00814777"/>
    <w:rsid w:val="00814A6F"/>
    <w:rsid w:val="008151F1"/>
    <w:rsid w:val="008152D9"/>
    <w:rsid w:val="00815BBB"/>
    <w:rsid w:val="00816398"/>
    <w:rsid w:val="008168A9"/>
    <w:rsid w:val="00817892"/>
    <w:rsid w:val="00817E4D"/>
    <w:rsid w:val="008208AA"/>
    <w:rsid w:val="00820DB6"/>
    <w:rsid w:val="0082195C"/>
    <w:rsid w:val="00822E7B"/>
    <w:rsid w:val="008234FE"/>
    <w:rsid w:val="008239FA"/>
    <w:rsid w:val="00824558"/>
    <w:rsid w:val="00824B83"/>
    <w:rsid w:val="008273F2"/>
    <w:rsid w:val="00832081"/>
    <w:rsid w:val="008329EC"/>
    <w:rsid w:val="00832D27"/>
    <w:rsid w:val="008347E6"/>
    <w:rsid w:val="00834E26"/>
    <w:rsid w:val="008370F9"/>
    <w:rsid w:val="008378B6"/>
    <w:rsid w:val="00841A2C"/>
    <w:rsid w:val="00841DE7"/>
    <w:rsid w:val="00844A00"/>
    <w:rsid w:val="008451D7"/>
    <w:rsid w:val="00851441"/>
    <w:rsid w:val="0085272A"/>
    <w:rsid w:val="00853542"/>
    <w:rsid w:val="008548A6"/>
    <w:rsid w:val="00857E9C"/>
    <w:rsid w:val="00860E3A"/>
    <w:rsid w:val="00861932"/>
    <w:rsid w:val="0086224E"/>
    <w:rsid w:val="008625F5"/>
    <w:rsid w:val="0086288D"/>
    <w:rsid w:val="00864665"/>
    <w:rsid w:val="00864D9C"/>
    <w:rsid w:val="008650B6"/>
    <w:rsid w:val="0086546D"/>
    <w:rsid w:val="00866005"/>
    <w:rsid w:val="00866D87"/>
    <w:rsid w:val="008703B7"/>
    <w:rsid w:val="00873014"/>
    <w:rsid w:val="0087339E"/>
    <w:rsid w:val="00873966"/>
    <w:rsid w:val="0087447E"/>
    <w:rsid w:val="008745FB"/>
    <w:rsid w:val="0087637C"/>
    <w:rsid w:val="008768A4"/>
    <w:rsid w:val="0088022C"/>
    <w:rsid w:val="0088081C"/>
    <w:rsid w:val="00880E58"/>
    <w:rsid w:val="00882DE0"/>
    <w:rsid w:val="00884634"/>
    <w:rsid w:val="00884E0A"/>
    <w:rsid w:val="00885D98"/>
    <w:rsid w:val="008870C0"/>
    <w:rsid w:val="00890F55"/>
    <w:rsid w:val="0089144B"/>
    <w:rsid w:val="008924CD"/>
    <w:rsid w:val="0089278C"/>
    <w:rsid w:val="008A03D1"/>
    <w:rsid w:val="008A0660"/>
    <w:rsid w:val="008A2D61"/>
    <w:rsid w:val="008A33AC"/>
    <w:rsid w:val="008A50F3"/>
    <w:rsid w:val="008A7AFD"/>
    <w:rsid w:val="008A7F7B"/>
    <w:rsid w:val="008B04A2"/>
    <w:rsid w:val="008B34FA"/>
    <w:rsid w:val="008B43AE"/>
    <w:rsid w:val="008B4453"/>
    <w:rsid w:val="008B4B7D"/>
    <w:rsid w:val="008B51B6"/>
    <w:rsid w:val="008B5742"/>
    <w:rsid w:val="008B58CB"/>
    <w:rsid w:val="008B7F47"/>
    <w:rsid w:val="008C0508"/>
    <w:rsid w:val="008C1D6F"/>
    <w:rsid w:val="008C44FC"/>
    <w:rsid w:val="008C5A0A"/>
    <w:rsid w:val="008C5AD6"/>
    <w:rsid w:val="008C63D5"/>
    <w:rsid w:val="008D08C2"/>
    <w:rsid w:val="008D18AA"/>
    <w:rsid w:val="008D1933"/>
    <w:rsid w:val="008D5595"/>
    <w:rsid w:val="008D55CD"/>
    <w:rsid w:val="008D6AA7"/>
    <w:rsid w:val="008D6D9C"/>
    <w:rsid w:val="008D7A78"/>
    <w:rsid w:val="008E1B86"/>
    <w:rsid w:val="008E33D9"/>
    <w:rsid w:val="008E34C7"/>
    <w:rsid w:val="008E640E"/>
    <w:rsid w:val="008E686E"/>
    <w:rsid w:val="008F271C"/>
    <w:rsid w:val="008F313E"/>
    <w:rsid w:val="008F4FC8"/>
    <w:rsid w:val="008F55CE"/>
    <w:rsid w:val="00900249"/>
    <w:rsid w:val="009004AB"/>
    <w:rsid w:val="00900A7D"/>
    <w:rsid w:val="00901224"/>
    <w:rsid w:val="0090148B"/>
    <w:rsid w:val="0090153D"/>
    <w:rsid w:val="00901B57"/>
    <w:rsid w:val="00901F12"/>
    <w:rsid w:val="00902A14"/>
    <w:rsid w:val="00902A4E"/>
    <w:rsid w:val="0090355B"/>
    <w:rsid w:val="00904355"/>
    <w:rsid w:val="009045F1"/>
    <w:rsid w:val="00910B95"/>
    <w:rsid w:val="00910DA1"/>
    <w:rsid w:val="00910E73"/>
    <w:rsid w:val="009149EC"/>
    <w:rsid w:val="00915A88"/>
    <w:rsid w:val="00917EC1"/>
    <w:rsid w:val="00921E60"/>
    <w:rsid w:val="009220EC"/>
    <w:rsid w:val="00922AA7"/>
    <w:rsid w:val="00922C88"/>
    <w:rsid w:val="00927383"/>
    <w:rsid w:val="00927BC1"/>
    <w:rsid w:val="00930D6D"/>
    <w:rsid w:val="00932762"/>
    <w:rsid w:val="009336DF"/>
    <w:rsid w:val="009347FB"/>
    <w:rsid w:val="00935C13"/>
    <w:rsid w:val="0093635A"/>
    <w:rsid w:val="0093793D"/>
    <w:rsid w:val="00941986"/>
    <w:rsid w:val="00942893"/>
    <w:rsid w:val="00942C7D"/>
    <w:rsid w:val="0094401A"/>
    <w:rsid w:val="00944943"/>
    <w:rsid w:val="00945D17"/>
    <w:rsid w:val="00946E14"/>
    <w:rsid w:val="009509A7"/>
    <w:rsid w:val="00950E5B"/>
    <w:rsid w:val="009518BB"/>
    <w:rsid w:val="00952BD5"/>
    <w:rsid w:val="00952CC9"/>
    <w:rsid w:val="00953BDA"/>
    <w:rsid w:val="0095409E"/>
    <w:rsid w:val="00957554"/>
    <w:rsid w:val="00957C69"/>
    <w:rsid w:val="00961853"/>
    <w:rsid w:val="009642A3"/>
    <w:rsid w:val="009648C1"/>
    <w:rsid w:val="009662B5"/>
    <w:rsid w:val="00971687"/>
    <w:rsid w:val="00971FC0"/>
    <w:rsid w:val="00972A81"/>
    <w:rsid w:val="00974BDF"/>
    <w:rsid w:val="0097579A"/>
    <w:rsid w:val="0097668E"/>
    <w:rsid w:val="00976B4D"/>
    <w:rsid w:val="0098025B"/>
    <w:rsid w:val="0098172F"/>
    <w:rsid w:val="009844CA"/>
    <w:rsid w:val="009846FA"/>
    <w:rsid w:val="0098530D"/>
    <w:rsid w:val="00985E7E"/>
    <w:rsid w:val="00987B59"/>
    <w:rsid w:val="009901E2"/>
    <w:rsid w:val="0099166C"/>
    <w:rsid w:val="009921CD"/>
    <w:rsid w:val="00992B54"/>
    <w:rsid w:val="00992DDC"/>
    <w:rsid w:val="00993C29"/>
    <w:rsid w:val="00994307"/>
    <w:rsid w:val="009967FB"/>
    <w:rsid w:val="009A02B2"/>
    <w:rsid w:val="009A0DB7"/>
    <w:rsid w:val="009A102D"/>
    <w:rsid w:val="009A157F"/>
    <w:rsid w:val="009A1BCD"/>
    <w:rsid w:val="009A2263"/>
    <w:rsid w:val="009A3BDD"/>
    <w:rsid w:val="009A4736"/>
    <w:rsid w:val="009A4F24"/>
    <w:rsid w:val="009A6FBC"/>
    <w:rsid w:val="009A7858"/>
    <w:rsid w:val="009B0DFD"/>
    <w:rsid w:val="009B12BF"/>
    <w:rsid w:val="009B171C"/>
    <w:rsid w:val="009B3DD2"/>
    <w:rsid w:val="009B52A2"/>
    <w:rsid w:val="009B6F44"/>
    <w:rsid w:val="009B75AF"/>
    <w:rsid w:val="009B798A"/>
    <w:rsid w:val="009C36A0"/>
    <w:rsid w:val="009C3BF1"/>
    <w:rsid w:val="009C49D1"/>
    <w:rsid w:val="009C4E8A"/>
    <w:rsid w:val="009C5325"/>
    <w:rsid w:val="009C5B79"/>
    <w:rsid w:val="009C6F35"/>
    <w:rsid w:val="009C7F3B"/>
    <w:rsid w:val="009D1470"/>
    <w:rsid w:val="009D414B"/>
    <w:rsid w:val="009D53A3"/>
    <w:rsid w:val="009D6652"/>
    <w:rsid w:val="009D6C43"/>
    <w:rsid w:val="009D6E62"/>
    <w:rsid w:val="009E1686"/>
    <w:rsid w:val="009E2863"/>
    <w:rsid w:val="009E32C9"/>
    <w:rsid w:val="009E35A9"/>
    <w:rsid w:val="009E3854"/>
    <w:rsid w:val="009E4B55"/>
    <w:rsid w:val="009E5695"/>
    <w:rsid w:val="009E72AB"/>
    <w:rsid w:val="009E787B"/>
    <w:rsid w:val="009F013D"/>
    <w:rsid w:val="009F24E9"/>
    <w:rsid w:val="009F28E1"/>
    <w:rsid w:val="009F295C"/>
    <w:rsid w:val="009F462F"/>
    <w:rsid w:val="009F5420"/>
    <w:rsid w:val="009F7204"/>
    <w:rsid w:val="009F7678"/>
    <w:rsid w:val="00A033CD"/>
    <w:rsid w:val="00A04150"/>
    <w:rsid w:val="00A06BA9"/>
    <w:rsid w:val="00A0776A"/>
    <w:rsid w:val="00A07964"/>
    <w:rsid w:val="00A122B4"/>
    <w:rsid w:val="00A12B73"/>
    <w:rsid w:val="00A13D3C"/>
    <w:rsid w:val="00A14701"/>
    <w:rsid w:val="00A17414"/>
    <w:rsid w:val="00A20141"/>
    <w:rsid w:val="00A216B0"/>
    <w:rsid w:val="00A22123"/>
    <w:rsid w:val="00A22906"/>
    <w:rsid w:val="00A267B8"/>
    <w:rsid w:val="00A2722A"/>
    <w:rsid w:val="00A2750D"/>
    <w:rsid w:val="00A27DE4"/>
    <w:rsid w:val="00A312B8"/>
    <w:rsid w:val="00A3337C"/>
    <w:rsid w:val="00A356BB"/>
    <w:rsid w:val="00A3790D"/>
    <w:rsid w:val="00A40218"/>
    <w:rsid w:val="00A40A35"/>
    <w:rsid w:val="00A41443"/>
    <w:rsid w:val="00A424B9"/>
    <w:rsid w:val="00A4342F"/>
    <w:rsid w:val="00A4496E"/>
    <w:rsid w:val="00A470B2"/>
    <w:rsid w:val="00A47792"/>
    <w:rsid w:val="00A47CEF"/>
    <w:rsid w:val="00A47DE6"/>
    <w:rsid w:val="00A52845"/>
    <w:rsid w:val="00A52C7E"/>
    <w:rsid w:val="00A53616"/>
    <w:rsid w:val="00A5418B"/>
    <w:rsid w:val="00A56C4B"/>
    <w:rsid w:val="00A57328"/>
    <w:rsid w:val="00A603CE"/>
    <w:rsid w:val="00A611B3"/>
    <w:rsid w:val="00A61324"/>
    <w:rsid w:val="00A61329"/>
    <w:rsid w:val="00A6186B"/>
    <w:rsid w:val="00A628AF"/>
    <w:rsid w:val="00A62C6F"/>
    <w:rsid w:val="00A6382F"/>
    <w:rsid w:val="00A6629B"/>
    <w:rsid w:val="00A70028"/>
    <w:rsid w:val="00A71814"/>
    <w:rsid w:val="00A7583B"/>
    <w:rsid w:val="00A77A0C"/>
    <w:rsid w:val="00A77C19"/>
    <w:rsid w:val="00A82153"/>
    <w:rsid w:val="00A83A2A"/>
    <w:rsid w:val="00A84844"/>
    <w:rsid w:val="00A8717F"/>
    <w:rsid w:val="00A90F8A"/>
    <w:rsid w:val="00A925C5"/>
    <w:rsid w:val="00A93107"/>
    <w:rsid w:val="00A9377E"/>
    <w:rsid w:val="00A950C7"/>
    <w:rsid w:val="00A97A13"/>
    <w:rsid w:val="00A97EAE"/>
    <w:rsid w:val="00AA1A98"/>
    <w:rsid w:val="00AA1DEC"/>
    <w:rsid w:val="00AA1ECE"/>
    <w:rsid w:val="00AA535F"/>
    <w:rsid w:val="00AA6E86"/>
    <w:rsid w:val="00AA7D98"/>
    <w:rsid w:val="00AB167E"/>
    <w:rsid w:val="00AB1E75"/>
    <w:rsid w:val="00AB2B67"/>
    <w:rsid w:val="00AB43FA"/>
    <w:rsid w:val="00AC1BB5"/>
    <w:rsid w:val="00AC22A2"/>
    <w:rsid w:val="00AC239D"/>
    <w:rsid w:val="00AC25A1"/>
    <w:rsid w:val="00AC49E7"/>
    <w:rsid w:val="00AC4EA1"/>
    <w:rsid w:val="00AC6CA4"/>
    <w:rsid w:val="00AC7166"/>
    <w:rsid w:val="00AD0DC1"/>
    <w:rsid w:val="00AD0F28"/>
    <w:rsid w:val="00AD1E6A"/>
    <w:rsid w:val="00AD21A1"/>
    <w:rsid w:val="00AD326D"/>
    <w:rsid w:val="00AD3534"/>
    <w:rsid w:val="00AD3690"/>
    <w:rsid w:val="00AD3DE3"/>
    <w:rsid w:val="00AD4A2A"/>
    <w:rsid w:val="00AD4B99"/>
    <w:rsid w:val="00AD5937"/>
    <w:rsid w:val="00AD6430"/>
    <w:rsid w:val="00AD6E36"/>
    <w:rsid w:val="00AD702F"/>
    <w:rsid w:val="00AE077D"/>
    <w:rsid w:val="00AE2550"/>
    <w:rsid w:val="00AE6FE2"/>
    <w:rsid w:val="00AF0FCB"/>
    <w:rsid w:val="00AF25A5"/>
    <w:rsid w:val="00AF2840"/>
    <w:rsid w:val="00AF2FEB"/>
    <w:rsid w:val="00AF4DA9"/>
    <w:rsid w:val="00AF6F75"/>
    <w:rsid w:val="00AF717F"/>
    <w:rsid w:val="00AF73AD"/>
    <w:rsid w:val="00B0124D"/>
    <w:rsid w:val="00B0292D"/>
    <w:rsid w:val="00B03BD5"/>
    <w:rsid w:val="00B0523D"/>
    <w:rsid w:val="00B06AD7"/>
    <w:rsid w:val="00B104DB"/>
    <w:rsid w:val="00B10AE8"/>
    <w:rsid w:val="00B124BF"/>
    <w:rsid w:val="00B1788A"/>
    <w:rsid w:val="00B17D43"/>
    <w:rsid w:val="00B21826"/>
    <w:rsid w:val="00B21B88"/>
    <w:rsid w:val="00B21B8D"/>
    <w:rsid w:val="00B21D66"/>
    <w:rsid w:val="00B22533"/>
    <w:rsid w:val="00B23631"/>
    <w:rsid w:val="00B240C2"/>
    <w:rsid w:val="00B2415A"/>
    <w:rsid w:val="00B26415"/>
    <w:rsid w:val="00B327E2"/>
    <w:rsid w:val="00B328B0"/>
    <w:rsid w:val="00B34497"/>
    <w:rsid w:val="00B363D0"/>
    <w:rsid w:val="00B43522"/>
    <w:rsid w:val="00B452E4"/>
    <w:rsid w:val="00B50915"/>
    <w:rsid w:val="00B5162A"/>
    <w:rsid w:val="00B52811"/>
    <w:rsid w:val="00B545BB"/>
    <w:rsid w:val="00B5494A"/>
    <w:rsid w:val="00B55E48"/>
    <w:rsid w:val="00B5614E"/>
    <w:rsid w:val="00B6082C"/>
    <w:rsid w:val="00B61105"/>
    <w:rsid w:val="00B61C19"/>
    <w:rsid w:val="00B631DA"/>
    <w:rsid w:val="00B634E8"/>
    <w:rsid w:val="00B638ED"/>
    <w:rsid w:val="00B64356"/>
    <w:rsid w:val="00B64F53"/>
    <w:rsid w:val="00B65FDC"/>
    <w:rsid w:val="00B676F2"/>
    <w:rsid w:val="00B67A2E"/>
    <w:rsid w:val="00B714C2"/>
    <w:rsid w:val="00B7276A"/>
    <w:rsid w:val="00B74168"/>
    <w:rsid w:val="00B748A6"/>
    <w:rsid w:val="00B7497B"/>
    <w:rsid w:val="00B7537D"/>
    <w:rsid w:val="00B80DD3"/>
    <w:rsid w:val="00B8170B"/>
    <w:rsid w:val="00B84786"/>
    <w:rsid w:val="00B84EBE"/>
    <w:rsid w:val="00B8753C"/>
    <w:rsid w:val="00B90FB2"/>
    <w:rsid w:val="00B9167A"/>
    <w:rsid w:val="00B918EA"/>
    <w:rsid w:val="00B95E11"/>
    <w:rsid w:val="00B96AF4"/>
    <w:rsid w:val="00B97438"/>
    <w:rsid w:val="00B97489"/>
    <w:rsid w:val="00BA0972"/>
    <w:rsid w:val="00BA1239"/>
    <w:rsid w:val="00BA3067"/>
    <w:rsid w:val="00BA31BA"/>
    <w:rsid w:val="00BA5857"/>
    <w:rsid w:val="00BA6187"/>
    <w:rsid w:val="00BA72E9"/>
    <w:rsid w:val="00BA7B84"/>
    <w:rsid w:val="00BB1132"/>
    <w:rsid w:val="00BB21FD"/>
    <w:rsid w:val="00BB463A"/>
    <w:rsid w:val="00BB5B7E"/>
    <w:rsid w:val="00BB734D"/>
    <w:rsid w:val="00BC03D7"/>
    <w:rsid w:val="00BC1A6C"/>
    <w:rsid w:val="00BC1F54"/>
    <w:rsid w:val="00BC3B73"/>
    <w:rsid w:val="00BC4773"/>
    <w:rsid w:val="00BC77EA"/>
    <w:rsid w:val="00BD03D6"/>
    <w:rsid w:val="00BD0924"/>
    <w:rsid w:val="00BD1136"/>
    <w:rsid w:val="00BD1E25"/>
    <w:rsid w:val="00BD58AD"/>
    <w:rsid w:val="00BD7069"/>
    <w:rsid w:val="00BD7C67"/>
    <w:rsid w:val="00BE3E45"/>
    <w:rsid w:val="00BE4D59"/>
    <w:rsid w:val="00BE640D"/>
    <w:rsid w:val="00BE6671"/>
    <w:rsid w:val="00BE7949"/>
    <w:rsid w:val="00BF0206"/>
    <w:rsid w:val="00BF05FC"/>
    <w:rsid w:val="00BF2288"/>
    <w:rsid w:val="00BF2E24"/>
    <w:rsid w:val="00BF3D57"/>
    <w:rsid w:val="00BF5E52"/>
    <w:rsid w:val="00BF6472"/>
    <w:rsid w:val="00BF7510"/>
    <w:rsid w:val="00BF782E"/>
    <w:rsid w:val="00C04772"/>
    <w:rsid w:val="00C0497F"/>
    <w:rsid w:val="00C05E5F"/>
    <w:rsid w:val="00C06F8E"/>
    <w:rsid w:val="00C14226"/>
    <w:rsid w:val="00C152D3"/>
    <w:rsid w:val="00C158E5"/>
    <w:rsid w:val="00C15ED3"/>
    <w:rsid w:val="00C15FC4"/>
    <w:rsid w:val="00C20FA6"/>
    <w:rsid w:val="00C24B85"/>
    <w:rsid w:val="00C26164"/>
    <w:rsid w:val="00C26BFB"/>
    <w:rsid w:val="00C27B33"/>
    <w:rsid w:val="00C303E1"/>
    <w:rsid w:val="00C32BA7"/>
    <w:rsid w:val="00C34008"/>
    <w:rsid w:val="00C34B1E"/>
    <w:rsid w:val="00C350A4"/>
    <w:rsid w:val="00C354CD"/>
    <w:rsid w:val="00C354CE"/>
    <w:rsid w:val="00C3792E"/>
    <w:rsid w:val="00C37BF5"/>
    <w:rsid w:val="00C402A3"/>
    <w:rsid w:val="00C44F38"/>
    <w:rsid w:val="00C47899"/>
    <w:rsid w:val="00C509E5"/>
    <w:rsid w:val="00C50B7F"/>
    <w:rsid w:val="00C50DB5"/>
    <w:rsid w:val="00C50ED9"/>
    <w:rsid w:val="00C54CF0"/>
    <w:rsid w:val="00C54E2B"/>
    <w:rsid w:val="00C551B9"/>
    <w:rsid w:val="00C578A3"/>
    <w:rsid w:val="00C5793F"/>
    <w:rsid w:val="00C601CF"/>
    <w:rsid w:val="00C62F4A"/>
    <w:rsid w:val="00C643F3"/>
    <w:rsid w:val="00C645DC"/>
    <w:rsid w:val="00C64F16"/>
    <w:rsid w:val="00C65726"/>
    <w:rsid w:val="00C677D6"/>
    <w:rsid w:val="00C67A7E"/>
    <w:rsid w:val="00C70520"/>
    <w:rsid w:val="00C725E3"/>
    <w:rsid w:val="00C74035"/>
    <w:rsid w:val="00C74DF7"/>
    <w:rsid w:val="00C76956"/>
    <w:rsid w:val="00C77A66"/>
    <w:rsid w:val="00C81EBC"/>
    <w:rsid w:val="00C8262F"/>
    <w:rsid w:val="00C842B7"/>
    <w:rsid w:val="00C8678D"/>
    <w:rsid w:val="00C86A14"/>
    <w:rsid w:val="00C86F52"/>
    <w:rsid w:val="00C90F7F"/>
    <w:rsid w:val="00C91E1B"/>
    <w:rsid w:val="00C93423"/>
    <w:rsid w:val="00C94444"/>
    <w:rsid w:val="00C9519D"/>
    <w:rsid w:val="00C958F3"/>
    <w:rsid w:val="00C96033"/>
    <w:rsid w:val="00C979F1"/>
    <w:rsid w:val="00CA078B"/>
    <w:rsid w:val="00CA0B3F"/>
    <w:rsid w:val="00CA1AB3"/>
    <w:rsid w:val="00CA260C"/>
    <w:rsid w:val="00CA274A"/>
    <w:rsid w:val="00CA2C78"/>
    <w:rsid w:val="00CA45DC"/>
    <w:rsid w:val="00CA5352"/>
    <w:rsid w:val="00CA6A7E"/>
    <w:rsid w:val="00CB125E"/>
    <w:rsid w:val="00CB2B71"/>
    <w:rsid w:val="00CB2D52"/>
    <w:rsid w:val="00CB42BE"/>
    <w:rsid w:val="00CB4E1A"/>
    <w:rsid w:val="00CB6B22"/>
    <w:rsid w:val="00CB6C1C"/>
    <w:rsid w:val="00CB6C78"/>
    <w:rsid w:val="00CB72D2"/>
    <w:rsid w:val="00CC18F3"/>
    <w:rsid w:val="00CC4408"/>
    <w:rsid w:val="00CC4E9D"/>
    <w:rsid w:val="00CD2CB6"/>
    <w:rsid w:val="00CD2EAE"/>
    <w:rsid w:val="00CD30B9"/>
    <w:rsid w:val="00CD3BE1"/>
    <w:rsid w:val="00CD5210"/>
    <w:rsid w:val="00CD5AF6"/>
    <w:rsid w:val="00CE231F"/>
    <w:rsid w:val="00CE5854"/>
    <w:rsid w:val="00CE70DE"/>
    <w:rsid w:val="00CE7582"/>
    <w:rsid w:val="00CE7BA7"/>
    <w:rsid w:val="00CF10E6"/>
    <w:rsid w:val="00CF1BC8"/>
    <w:rsid w:val="00CF569F"/>
    <w:rsid w:val="00CF79AE"/>
    <w:rsid w:val="00CF79FF"/>
    <w:rsid w:val="00CF7A05"/>
    <w:rsid w:val="00CF7B81"/>
    <w:rsid w:val="00D008C3"/>
    <w:rsid w:val="00D00DAB"/>
    <w:rsid w:val="00D00ED1"/>
    <w:rsid w:val="00D012E8"/>
    <w:rsid w:val="00D01955"/>
    <w:rsid w:val="00D01F3F"/>
    <w:rsid w:val="00D0271C"/>
    <w:rsid w:val="00D02ABF"/>
    <w:rsid w:val="00D0327B"/>
    <w:rsid w:val="00D07895"/>
    <w:rsid w:val="00D117B2"/>
    <w:rsid w:val="00D14DE5"/>
    <w:rsid w:val="00D14FD5"/>
    <w:rsid w:val="00D16E2D"/>
    <w:rsid w:val="00D17ADE"/>
    <w:rsid w:val="00D21320"/>
    <w:rsid w:val="00D21E32"/>
    <w:rsid w:val="00D259B8"/>
    <w:rsid w:val="00D25BFC"/>
    <w:rsid w:val="00D2667F"/>
    <w:rsid w:val="00D2691B"/>
    <w:rsid w:val="00D27243"/>
    <w:rsid w:val="00D3189F"/>
    <w:rsid w:val="00D31B75"/>
    <w:rsid w:val="00D31B82"/>
    <w:rsid w:val="00D31C7D"/>
    <w:rsid w:val="00D32084"/>
    <w:rsid w:val="00D3384F"/>
    <w:rsid w:val="00D347A5"/>
    <w:rsid w:val="00D35843"/>
    <w:rsid w:val="00D372C5"/>
    <w:rsid w:val="00D377C8"/>
    <w:rsid w:val="00D410E9"/>
    <w:rsid w:val="00D42CFB"/>
    <w:rsid w:val="00D458DF"/>
    <w:rsid w:val="00D504BF"/>
    <w:rsid w:val="00D5090F"/>
    <w:rsid w:val="00D50936"/>
    <w:rsid w:val="00D51404"/>
    <w:rsid w:val="00D51D7F"/>
    <w:rsid w:val="00D5210A"/>
    <w:rsid w:val="00D52169"/>
    <w:rsid w:val="00D5238C"/>
    <w:rsid w:val="00D533DD"/>
    <w:rsid w:val="00D5536E"/>
    <w:rsid w:val="00D56847"/>
    <w:rsid w:val="00D57A63"/>
    <w:rsid w:val="00D61308"/>
    <w:rsid w:val="00D6151F"/>
    <w:rsid w:val="00D617DE"/>
    <w:rsid w:val="00D6186A"/>
    <w:rsid w:val="00D61BFC"/>
    <w:rsid w:val="00D6344F"/>
    <w:rsid w:val="00D643F5"/>
    <w:rsid w:val="00D64DFB"/>
    <w:rsid w:val="00D665EE"/>
    <w:rsid w:val="00D668BB"/>
    <w:rsid w:val="00D66BC2"/>
    <w:rsid w:val="00D67085"/>
    <w:rsid w:val="00D67437"/>
    <w:rsid w:val="00D6766D"/>
    <w:rsid w:val="00D7083E"/>
    <w:rsid w:val="00D70FC8"/>
    <w:rsid w:val="00D712A4"/>
    <w:rsid w:val="00D716ED"/>
    <w:rsid w:val="00D71BC3"/>
    <w:rsid w:val="00D71E20"/>
    <w:rsid w:val="00D7210E"/>
    <w:rsid w:val="00D7257C"/>
    <w:rsid w:val="00D74CF4"/>
    <w:rsid w:val="00D75359"/>
    <w:rsid w:val="00D774CD"/>
    <w:rsid w:val="00D77867"/>
    <w:rsid w:val="00D80194"/>
    <w:rsid w:val="00D80465"/>
    <w:rsid w:val="00D83CC7"/>
    <w:rsid w:val="00D858D1"/>
    <w:rsid w:val="00D90269"/>
    <w:rsid w:val="00D91A19"/>
    <w:rsid w:val="00D95F7B"/>
    <w:rsid w:val="00D9630D"/>
    <w:rsid w:val="00D96BF7"/>
    <w:rsid w:val="00DA0361"/>
    <w:rsid w:val="00DA0414"/>
    <w:rsid w:val="00DA0523"/>
    <w:rsid w:val="00DA0EC1"/>
    <w:rsid w:val="00DA1623"/>
    <w:rsid w:val="00DA1A93"/>
    <w:rsid w:val="00DA3C03"/>
    <w:rsid w:val="00DA3EFC"/>
    <w:rsid w:val="00DA53C8"/>
    <w:rsid w:val="00DA57D1"/>
    <w:rsid w:val="00DA5833"/>
    <w:rsid w:val="00DB0BED"/>
    <w:rsid w:val="00DB423E"/>
    <w:rsid w:val="00DB5788"/>
    <w:rsid w:val="00DB5950"/>
    <w:rsid w:val="00DB6393"/>
    <w:rsid w:val="00DB726D"/>
    <w:rsid w:val="00DC1192"/>
    <w:rsid w:val="00DC3AFA"/>
    <w:rsid w:val="00DC3F9A"/>
    <w:rsid w:val="00DC62EB"/>
    <w:rsid w:val="00DC7CB3"/>
    <w:rsid w:val="00DD026E"/>
    <w:rsid w:val="00DD0355"/>
    <w:rsid w:val="00DD2CF6"/>
    <w:rsid w:val="00DD3119"/>
    <w:rsid w:val="00DD3FC3"/>
    <w:rsid w:val="00DD55FD"/>
    <w:rsid w:val="00DD7DB6"/>
    <w:rsid w:val="00DD7EF9"/>
    <w:rsid w:val="00DE14F2"/>
    <w:rsid w:val="00DE256E"/>
    <w:rsid w:val="00DE2FAF"/>
    <w:rsid w:val="00DE4EB6"/>
    <w:rsid w:val="00DE5612"/>
    <w:rsid w:val="00DE637F"/>
    <w:rsid w:val="00DE666B"/>
    <w:rsid w:val="00DE6A55"/>
    <w:rsid w:val="00DE700C"/>
    <w:rsid w:val="00DE772A"/>
    <w:rsid w:val="00DF1BCA"/>
    <w:rsid w:val="00DF1C1A"/>
    <w:rsid w:val="00DF28EB"/>
    <w:rsid w:val="00DF5BC5"/>
    <w:rsid w:val="00DF7EC3"/>
    <w:rsid w:val="00E00CED"/>
    <w:rsid w:val="00E01780"/>
    <w:rsid w:val="00E01845"/>
    <w:rsid w:val="00E01A48"/>
    <w:rsid w:val="00E01F24"/>
    <w:rsid w:val="00E028EB"/>
    <w:rsid w:val="00E02AC9"/>
    <w:rsid w:val="00E02EBA"/>
    <w:rsid w:val="00E03C6F"/>
    <w:rsid w:val="00E03EF2"/>
    <w:rsid w:val="00E05460"/>
    <w:rsid w:val="00E07FC8"/>
    <w:rsid w:val="00E102CD"/>
    <w:rsid w:val="00E10F25"/>
    <w:rsid w:val="00E1215A"/>
    <w:rsid w:val="00E13C9A"/>
    <w:rsid w:val="00E1574A"/>
    <w:rsid w:val="00E1731E"/>
    <w:rsid w:val="00E17E0E"/>
    <w:rsid w:val="00E20198"/>
    <w:rsid w:val="00E204F2"/>
    <w:rsid w:val="00E20972"/>
    <w:rsid w:val="00E20B3D"/>
    <w:rsid w:val="00E23D13"/>
    <w:rsid w:val="00E2614C"/>
    <w:rsid w:val="00E26603"/>
    <w:rsid w:val="00E26AE7"/>
    <w:rsid w:val="00E26E52"/>
    <w:rsid w:val="00E27A0A"/>
    <w:rsid w:val="00E30056"/>
    <w:rsid w:val="00E3297C"/>
    <w:rsid w:val="00E3439F"/>
    <w:rsid w:val="00E37C56"/>
    <w:rsid w:val="00E43027"/>
    <w:rsid w:val="00E451C2"/>
    <w:rsid w:val="00E451D4"/>
    <w:rsid w:val="00E45348"/>
    <w:rsid w:val="00E46BCD"/>
    <w:rsid w:val="00E47883"/>
    <w:rsid w:val="00E47A7D"/>
    <w:rsid w:val="00E50E5B"/>
    <w:rsid w:val="00E51B96"/>
    <w:rsid w:val="00E528C9"/>
    <w:rsid w:val="00E53304"/>
    <w:rsid w:val="00E553CE"/>
    <w:rsid w:val="00E55B5F"/>
    <w:rsid w:val="00E56E6B"/>
    <w:rsid w:val="00E579DC"/>
    <w:rsid w:val="00E6233B"/>
    <w:rsid w:val="00E628F8"/>
    <w:rsid w:val="00E65257"/>
    <w:rsid w:val="00E6543A"/>
    <w:rsid w:val="00E65E79"/>
    <w:rsid w:val="00E67C91"/>
    <w:rsid w:val="00E70BA2"/>
    <w:rsid w:val="00E70C20"/>
    <w:rsid w:val="00E70F63"/>
    <w:rsid w:val="00E71013"/>
    <w:rsid w:val="00E72019"/>
    <w:rsid w:val="00E7484F"/>
    <w:rsid w:val="00E7522D"/>
    <w:rsid w:val="00E75900"/>
    <w:rsid w:val="00E838B2"/>
    <w:rsid w:val="00E842F7"/>
    <w:rsid w:val="00E859AF"/>
    <w:rsid w:val="00E86394"/>
    <w:rsid w:val="00E90099"/>
    <w:rsid w:val="00E91EE3"/>
    <w:rsid w:val="00E921C1"/>
    <w:rsid w:val="00E92B63"/>
    <w:rsid w:val="00E93442"/>
    <w:rsid w:val="00E9489C"/>
    <w:rsid w:val="00E95378"/>
    <w:rsid w:val="00E95AF1"/>
    <w:rsid w:val="00E9619C"/>
    <w:rsid w:val="00EA1815"/>
    <w:rsid w:val="00EA1925"/>
    <w:rsid w:val="00EA1AB8"/>
    <w:rsid w:val="00EA2281"/>
    <w:rsid w:val="00EA24E5"/>
    <w:rsid w:val="00EA430E"/>
    <w:rsid w:val="00EA5C80"/>
    <w:rsid w:val="00EA6FDF"/>
    <w:rsid w:val="00EB11AA"/>
    <w:rsid w:val="00EB2957"/>
    <w:rsid w:val="00EB4762"/>
    <w:rsid w:val="00EB4EE5"/>
    <w:rsid w:val="00EB6A2F"/>
    <w:rsid w:val="00EB71A6"/>
    <w:rsid w:val="00EB79A2"/>
    <w:rsid w:val="00EC086F"/>
    <w:rsid w:val="00EC1123"/>
    <w:rsid w:val="00EC24FC"/>
    <w:rsid w:val="00EC377B"/>
    <w:rsid w:val="00EC3863"/>
    <w:rsid w:val="00ED0275"/>
    <w:rsid w:val="00ED0AA0"/>
    <w:rsid w:val="00ED1BD4"/>
    <w:rsid w:val="00ED31A6"/>
    <w:rsid w:val="00ED45BD"/>
    <w:rsid w:val="00ED4B90"/>
    <w:rsid w:val="00ED4DB7"/>
    <w:rsid w:val="00ED7792"/>
    <w:rsid w:val="00EE36B3"/>
    <w:rsid w:val="00EE3CED"/>
    <w:rsid w:val="00EE4C20"/>
    <w:rsid w:val="00EE53A7"/>
    <w:rsid w:val="00EE5BEF"/>
    <w:rsid w:val="00EE6256"/>
    <w:rsid w:val="00EE76C4"/>
    <w:rsid w:val="00EE7B21"/>
    <w:rsid w:val="00EF0FB4"/>
    <w:rsid w:val="00EF115E"/>
    <w:rsid w:val="00EF2E6A"/>
    <w:rsid w:val="00EF3AED"/>
    <w:rsid w:val="00EF5580"/>
    <w:rsid w:val="00EF66D5"/>
    <w:rsid w:val="00EF6C74"/>
    <w:rsid w:val="00EF7632"/>
    <w:rsid w:val="00F004D3"/>
    <w:rsid w:val="00F014FE"/>
    <w:rsid w:val="00F04CC9"/>
    <w:rsid w:val="00F05A47"/>
    <w:rsid w:val="00F064FA"/>
    <w:rsid w:val="00F10AD3"/>
    <w:rsid w:val="00F11212"/>
    <w:rsid w:val="00F12496"/>
    <w:rsid w:val="00F12685"/>
    <w:rsid w:val="00F12A88"/>
    <w:rsid w:val="00F12EC3"/>
    <w:rsid w:val="00F14046"/>
    <w:rsid w:val="00F14F17"/>
    <w:rsid w:val="00F16DC0"/>
    <w:rsid w:val="00F17E39"/>
    <w:rsid w:val="00F20EE3"/>
    <w:rsid w:val="00F24146"/>
    <w:rsid w:val="00F2558A"/>
    <w:rsid w:val="00F2576D"/>
    <w:rsid w:val="00F264DA"/>
    <w:rsid w:val="00F26928"/>
    <w:rsid w:val="00F30736"/>
    <w:rsid w:val="00F308A9"/>
    <w:rsid w:val="00F30A25"/>
    <w:rsid w:val="00F31167"/>
    <w:rsid w:val="00F317F2"/>
    <w:rsid w:val="00F36B16"/>
    <w:rsid w:val="00F379CF"/>
    <w:rsid w:val="00F407B6"/>
    <w:rsid w:val="00F40A06"/>
    <w:rsid w:val="00F42CE1"/>
    <w:rsid w:val="00F4727E"/>
    <w:rsid w:val="00F501BD"/>
    <w:rsid w:val="00F50772"/>
    <w:rsid w:val="00F52409"/>
    <w:rsid w:val="00F536A8"/>
    <w:rsid w:val="00F53F6E"/>
    <w:rsid w:val="00F553B4"/>
    <w:rsid w:val="00F554A1"/>
    <w:rsid w:val="00F56140"/>
    <w:rsid w:val="00F56A2F"/>
    <w:rsid w:val="00F63039"/>
    <w:rsid w:val="00F632B8"/>
    <w:rsid w:val="00F63B3D"/>
    <w:rsid w:val="00F6585A"/>
    <w:rsid w:val="00F66889"/>
    <w:rsid w:val="00F70E0E"/>
    <w:rsid w:val="00F7254F"/>
    <w:rsid w:val="00F725B6"/>
    <w:rsid w:val="00F739D9"/>
    <w:rsid w:val="00F73E1D"/>
    <w:rsid w:val="00F7502C"/>
    <w:rsid w:val="00F75CE0"/>
    <w:rsid w:val="00F76731"/>
    <w:rsid w:val="00F767E0"/>
    <w:rsid w:val="00F80432"/>
    <w:rsid w:val="00F80A11"/>
    <w:rsid w:val="00F81563"/>
    <w:rsid w:val="00F81AEC"/>
    <w:rsid w:val="00F82657"/>
    <w:rsid w:val="00F83104"/>
    <w:rsid w:val="00F841E2"/>
    <w:rsid w:val="00F8454A"/>
    <w:rsid w:val="00F934AF"/>
    <w:rsid w:val="00F93A6B"/>
    <w:rsid w:val="00F944E5"/>
    <w:rsid w:val="00F9484C"/>
    <w:rsid w:val="00F9552D"/>
    <w:rsid w:val="00F95CBA"/>
    <w:rsid w:val="00F95EC6"/>
    <w:rsid w:val="00F9683D"/>
    <w:rsid w:val="00F969EA"/>
    <w:rsid w:val="00F97311"/>
    <w:rsid w:val="00FA2B96"/>
    <w:rsid w:val="00FA336B"/>
    <w:rsid w:val="00FA351A"/>
    <w:rsid w:val="00FA4A60"/>
    <w:rsid w:val="00FA4B40"/>
    <w:rsid w:val="00FA53EB"/>
    <w:rsid w:val="00FA5CDD"/>
    <w:rsid w:val="00FA6B4A"/>
    <w:rsid w:val="00FA7457"/>
    <w:rsid w:val="00FB0615"/>
    <w:rsid w:val="00FB25A1"/>
    <w:rsid w:val="00FB2C09"/>
    <w:rsid w:val="00FB3521"/>
    <w:rsid w:val="00FB3CB2"/>
    <w:rsid w:val="00FB4237"/>
    <w:rsid w:val="00FB5A56"/>
    <w:rsid w:val="00FB6DA7"/>
    <w:rsid w:val="00FB7353"/>
    <w:rsid w:val="00FC0F41"/>
    <w:rsid w:val="00FC107D"/>
    <w:rsid w:val="00FC114D"/>
    <w:rsid w:val="00FC1170"/>
    <w:rsid w:val="00FC19B1"/>
    <w:rsid w:val="00FC2611"/>
    <w:rsid w:val="00FC6F71"/>
    <w:rsid w:val="00FD01E1"/>
    <w:rsid w:val="00FD08F0"/>
    <w:rsid w:val="00FD19E3"/>
    <w:rsid w:val="00FD2A6A"/>
    <w:rsid w:val="00FD4BC3"/>
    <w:rsid w:val="00FD4F46"/>
    <w:rsid w:val="00FD6C67"/>
    <w:rsid w:val="00FD7229"/>
    <w:rsid w:val="00FD7500"/>
    <w:rsid w:val="00FE1387"/>
    <w:rsid w:val="00FE364C"/>
    <w:rsid w:val="00FE6429"/>
    <w:rsid w:val="00FE6EC7"/>
    <w:rsid w:val="00FE6F73"/>
    <w:rsid w:val="00FE793A"/>
    <w:rsid w:val="00FE7B3C"/>
    <w:rsid w:val="00FF3AA5"/>
    <w:rsid w:val="00FF6755"/>
    <w:rsid w:val="00FF69EE"/>
    <w:rsid w:val="00FF727E"/>
    <w:rsid w:val="012375FA"/>
    <w:rsid w:val="017F0407"/>
    <w:rsid w:val="019B1886"/>
    <w:rsid w:val="01AE15BA"/>
    <w:rsid w:val="01BF135E"/>
    <w:rsid w:val="02203B3A"/>
    <w:rsid w:val="02331ABF"/>
    <w:rsid w:val="025D1FF4"/>
    <w:rsid w:val="029415CE"/>
    <w:rsid w:val="02C24BF1"/>
    <w:rsid w:val="02C769C9"/>
    <w:rsid w:val="02F55EBB"/>
    <w:rsid w:val="03023F72"/>
    <w:rsid w:val="03600EDC"/>
    <w:rsid w:val="03E26FB2"/>
    <w:rsid w:val="04385E02"/>
    <w:rsid w:val="04F22C0A"/>
    <w:rsid w:val="05117FB0"/>
    <w:rsid w:val="058B39C0"/>
    <w:rsid w:val="05A00AD8"/>
    <w:rsid w:val="05CD222A"/>
    <w:rsid w:val="068B16AB"/>
    <w:rsid w:val="069A65B0"/>
    <w:rsid w:val="06B238FA"/>
    <w:rsid w:val="06DB3895"/>
    <w:rsid w:val="07190F9C"/>
    <w:rsid w:val="075D2CAD"/>
    <w:rsid w:val="07DB4A7A"/>
    <w:rsid w:val="08546485"/>
    <w:rsid w:val="08556AB9"/>
    <w:rsid w:val="08C16076"/>
    <w:rsid w:val="08F05B60"/>
    <w:rsid w:val="08F71A98"/>
    <w:rsid w:val="08FF6B9F"/>
    <w:rsid w:val="090917CB"/>
    <w:rsid w:val="090C4E18"/>
    <w:rsid w:val="092E2FE0"/>
    <w:rsid w:val="09532A47"/>
    <w:rsid w:val="09A335A7"/>
    <w:rsid w:val="09D15094"/>
    <w:rsid w:val="0A234A67"/>
    <w:rsid w:val="0A30033C"/>
    <w:rsid w:val="0AF81AF7"/>
    <w:rsid w:val="0B0C55A3"/>
    <w:rsid w:val="0B163DB3"/>
    <w:rsid w:val="0BD44FF6"/>
    <w:rsid w:val="0BDE2A9B"/>
    <w:rsid w:val="0C597313"/>
    <w:rsid w:val="0C833643"/>
    <w:rsid w:val="0CE326CD"/>
    <w:rsid w:val="0D1B387B"/>
    <w:rsid w:val="0D3122B2"/>
    <w:rsid w:val="0D4A6C5D"/>
    <w:rsid w:val="0DF10E2C"/>
    <w:rsid w:val="0E067FB9"/>
    <w:rsid w:val="0E337665"/>
    <w:rsid w:val="0E3A5F83"/>
    <w:rsid w:val="0E484B44"/>
    <w:rsid w:val="0ECA7307"/>
    <w:rsid w:val="0F276507"/>
    <w:rsid w:val="0F4F5A5E"/>
    <w:rsid w:val="0FEA2EB3"/>
    <w:rsid w:val="100F02C3"/>
    <w:rsid w:val="10463305"/>
    <w:rsid w:val="105E5112"/>
    <w:rsid w:val="10793FBE"/>
    <w:rsid w:val="10881228"/>
    <w:rsid w:val="10AB142F"/>
    <w:rsid w:val="10B4201D"/>
    <w:rsid w:val="10C77FA2"/>
    <w:rsid w:val="10D97CD5"/>
    <w:rsid w:val="10F52B43"/>
    <w:rsid w:val="11050ACA"/>
    <w:rsid w:val="116A54A1"/>
    <w:rsid w:val="117B0044"/>
    <w:rsid w:val="120A18DB"/>
    <w:rsid w:val="122D5384"/>
    <w:rsid w:val="1241498F"/>
    <w:rsid w:val="13183BF3"/>
    <w:rsid w:val="136840DC"/>
    <w:rsid w:val="1372616C"/>
    <w:rsid w:val="138A319C"/>
    <w:rsid w:val="138E4DA7"/>
    <w:rsid w:val="1391590F"/>
    <w:rsid w:val="13DA5F1F"/>
    <w:rsid w:val="1443185F"/>
    <w:rsid w:val="15C56A7A"/>
    <w:rsid w:val="15E16C1D"/>
    <w:rsid w:val="161E54CE"/>
    <w:rsid w:val="164901B2"/>
    <w:rsid w:val="164B3423"/>
    <w:rsid w:val="1662251B"/>
    <w:rsid w:val="16873D30"/>
    <w:rsid w:val="16985F3D"/>
    <w:rsid w:val="16C509EF"/>
    <w:rsid w:val="17190E2C"/>
    <w:rsid w:val="17570AB3"/>
    <w:rsid w:val="18153ADD"/>
    <w:rsid w:val="18581BCD"/>
    <w:rsid w:val="186E164B"/>
    <w:rsid w:val="186F21D4"/>
    <w:rsid w:val="18786026"/>
    <w:rsid w:val="187A5BE6"/>
    <w:rsid w:val="189A41EE"/>
    <w:rsid w:val="19012ECC"/>
    <w:rsid w:val="190F0738"/>
    <w:rsid w:val="194E59C2"/>
    <w:rsid w:val="19F3005A"/>
    <w:rsid w:val="1A2C744E"/>
    <w:rsid w:val="1A74451A"/>
    <w:rsid w:val="1A8C7B66"/>
    <w:rsid w:val="1AF220BF"/>
    <w:rsid w:val="1AFD2E34"/>
    <w:rsid w:val="1B092F5C"/>
    <w:rsid w:val="1B4C3F28"/>
    <w:rsid w:val="1B706DFA"/>
    <w:rsid w:val="1BAD4238"/>
    <w:rsid w:val="1BBC210E"/>
    <w:rsid w:val="1BDD2D6F"/>
    <w:rsid w:val="1BFE2CE6"/>
    <w:rsid w:val="1C3F641D"/>
    <w:rsid w:val="1C715266"/>
    <w:rsid w:val="1CC2416B"/>
    <w:rsid w:val="1CD1701B"/>
    <w:rsid w:val="1CDA4C02"/>
    <w:rsid w:val="1CDC4DD5"/>
    <w:rsid w:val="1D0973B7"/>
    <w:rsid w:val="1D1E1B15"/>
    <w:rsid w:val="1D644DCB"/>
    <w:rsid w:val="1D65301C"/>
    <w:rsid w:val="1E454BFC"/>
    <w:rsid w:val="1E7A24B6"/>
    <w:rsid w:val="1EA90CE7"/>
    <w:rsid w:val="1EAC040E"/>
    <w:rsid w:val="1EE937D9"/>
    <w:rsid w:val="1FE43FA1"/>
    <w:rsid w:val="1FFB225A"/>
    <w:rsid w:val="206D25D1"/>
    <w:rsid w:val="20B6593D"/>
    <w:rsid w:val="20EA3839"/>
    <w:rsid w:val="21366A7E"/>
    <w:rsid w:val="218B501C"/>
    <w:rsid w:val="21F91F85"/>
    <w:rsid w:val="21FD7A7B"/>
    <w:rsid w:val="220E3CD9"/>
    <w:rsid w:val="220E6AEB"/>
    <w:rsid w:val="2272763F"/>
    <w:rsid w:val="22852FE2"/>
    <w:rsid w:val="22BD782D"/>
    <w:rsid w:val="235C791B"/>
    <w:rsid w:val="236478D2"/>
    <w:rsid w:val="23A60814"/>
    <w:rsid w:val="23CE13A5"/>
    <w:rsid w:val="241675BC"/>
    <w:rsid w:val="2472601F"/>
    <w:rsid w:val="24E231A5"/>
    <w:rsid w:val="24E30CCB"/>
    <w:rsid w:val="251D242F"/>
    <w:rsid w:val="25333A00"/>
    <w:rsid w:val="25423C43"/>
    <w:rsid w:val="25461985"/>
    <w:rsid w:val="25B14925"/>
    <w:rsid w:val="25B508B9"/>
    <w:rsid w:val="25E74CCF"/>
    <w:rsid w:val="25FA2770"/>
    <w:rsid w:val="26357304"/>
    <w:rsid w:val="266151A7"/>
    <w:rsid w:val="26D134D1"/>
    <w:rsid w:val="26EB377C"/>
    <w:rsid w:val="272E0923"/>
    <w:rsid w:val="275B723E"/>
    <w:rsid w:val="27C743FC"/>
    <w:rsid w:val="280653FC"/>
    <w:rsid w:val="282B4039"/>
    <w:rsid w:val="287E4F92"/>
    <w:rsid w:val="288307FB"/>
    <w:rsid w:val="288D1679"/>
    <w:rsid w:val="28A86A69"/>
    <w:rsid w:val="28C130D1"/>
    <w:rsid w:val="29017971"/>
    <w:rsid w:val="293A6739"/>
    <w:rsid w:val="294F2DD3"/>
    <w:rsid w:val="298C36DF"/>
    <w:rsid w:val="2A0C4820"/>
    <w:rsid w:val="2A8954B2"/>
    <w:rsid w:val="2B6F150A"/>
    <w:rsid w:val="2B8462D0"/>
    <w:rsid w:val="2BEE01C4"/>
    <w:rsid w:val="2C1F083A"/>
    <w:rsid w:val="2C416A03"/>
    <w:rsid w:val="2C8219C0"/>
    <w:rsid w:val="2CCF0F66"/>
    <w:rsid w:val="2D025FEC"/>
    <w:rsid w:val="2D241E80"/>
    <w:rsid w:val="2D3C71CA"/>
    <w:rsid w:val="2D61729A"/>
    <w:rsid w:val="2D813A13"/>
    <w:rsid w:val="2D910300"/>
    <w:rsid w:val="2E1B4D5C"/>
    <w:rsid w:val="2E265C76"/>
    <w:rsid w:val="2E56075F"/>
    <w:rsid w:val="2E6B5FB9"/>
    <w:rsid w:val="2E9520B5"/>
    <w:rsid w:val="2EAE40F8"/>
    <w:rsid w:val="2EF15233"/>
    <w:rsid w:val="2F326AD7"/>
    <w:rsid w:val="2F37089C"/>
    <w:rsid w:val="2F37233F"/>
    <w:rsid w:val="302A5A00"/>
    <w:rsid w:val="30395C43"/>
    <w:rsid w:val="30797C15"/>
    <w:rsid w:val="30A755BA"/>
    <w:rsid w:val="30E67B79"/>
    <w:rsid w:val="30F52559"/>
    <w:rsid w:val="311431CB"/>
    <w:rsid w:val="315076E8"/>
    <w:rsid w:val="31A30C78"/>
    <w:rsid w:val="31D9592F"/>
    <w:rsid w:val="321B58C8"/>
    <w:rsid w:val="321E77E6"/>
    <w:rsid w:val="325D3E6B"/>
    <w:rsid w:val="32681EA9"/>
    <w:rsid w:val="32882ADA"/>
    <w:rsid w:val="32892EB1"/>
    <w:rsid w:val="329D54DD"/>
    <w:rsid w:val="32A75EAC"/>
    <w:rsid w:val="32AE0B6A"/>
    <w:rsid w:val="3321758E"/>
    <w:rsid w:val="333252F7"/>
    <w:rsid w:val="33613E2E"/>
    <w:rsid w:val="33DC1707"/>
    <w:rsid w:val="33F414E9"/>
    <w:rsid w:val="33FF2DAF"/>
    <w:rsid w:val="34433534"/>
    <w:rsid w:val="34DF14AF"/>
    <w:rsid w:val="352B0250"/>
    <w:rsid w:val="35337105"/>
    <w:rsid w:val="359115B3"/>
    <w:rsid w:val="35DD0D3C"/>
    <w:rsid w:val="361E7704"/>
    <w:rsid w:val="36C56482"/>
    <w:rsid w:val="36DF5796"/>
    <w:rsid w:val="36EC3A0F"/>
    <w:rsid w:val="371957D9"/>
    <w:rsid w:val="371D1E1A"/>
    <w:rsid w:val="373F7FE3"/>
    <w:rsid w:val="37702892"/>
    <w:rsid w:val="377C15E6"/>
    <w:rsid w:val="37A12A4B"/>
    <w:rsid w:val="37C130EE"/>
    <w:rsid w:val="37D37502"/>
    <w:rsid w:val="381D6090"/>
    <w:rsid w:val="3870241E"/>
    <w:rsid w:val="38FB262F"/>
    <w:rsid w:val="390019F4"/>
    <w:rsid w:val="39023195"/>
    <w:rsid w:val="39513B69"/>
    <w:rsid w:val="39B06F76"/>
    <w:rsid w:val="3A015A23"/>
    <w:rsid w:val="3A277B73"/>
    <w:rsid w:val="3A2A31CC"/>
    <w:rsid w:val="3A445910"/>
    <w:rsid w:val="3A59760D"/>
    <w:rsid w:val="3A7B288D"/>
    <w:rsid w:val="3AE07D2F"/>
    <w:rsid w:val="3B0648ED"/>
    <w:rsid w:val="3B077069"/>
    <w:rsid w:val="3B180483"/>
    <w:rsid w:val="3B9308FD"/>
    <w:rsid w:val="3BF47028"/>
    <w:rsid w:val="3BFE1B26"/>
    <w:rsid w:val="3C3D3CCB"/>
    <w:rsid w:val="3C5207B8"/>
    <w:rsid w:val="3C636521"/>
    <w:rsid w:val="3CC73F2B"/>
    <w:rsid w:val="3D4E24E3"/>
    <w:rsid w:val="3E491BB8"/>
    <w:rsid w:val="3E55633E"/>
    <w:rsid w:val="3E5720B6"/>
    <w:rsid w:val="3E833300"/>
    <w:rsid w:val="3E952BDE"/>
    <w:rsid w:val="3E981164"/>
    <w:rsid w:val="3EE20FDD"/>
    <w:rsid w:val="3EE85404"/>
    <w:rsid w:val="3FB049B5"/>
    <w:rsid w:val="3FC11EBB"/>
    <w:rsid w:val="3FD339BE"/>
    <w:rsid w:val="3FF878C8"/>
    <w:rsid w:val="3FFE2969"/>
    <w:rsid w:val="40207AD8"/>
    <w:rsid w:val="402F692B"/>
    <w:rsid w:val="4054224A"/>
    <w:rsid w:val="40750F19"/>
    <w:rsid w:val="40867871"/>
    <w:rsid w:val="40B25CC9"/>
    <w:rsid w:val="4101209C"/>
    <w:rsid w:val="411B561D"/>
    <w:rsid w:val="41315CFA"/>
    <w:rsid w:val="4145305B"/>
    <w:rsid w:val="415B52B5"/>
    <w:rsid w:val="41752CCC"/>
    <w:rsid w:val="419158DF"/>
    <w:rsid w:val="41B97DE6"/>
    <w:rsid w:val="420F2CA7"/>
    <w:rsid w:val="424961B9"/>
    <w:rsid w:val="42A744D3"/>
    <w:rsid w:val="42BE3319"/>
    <w:rsid w:val="42BF759B"/>
    <w:rsid w:val="42C839E4"/>
    <w:rsid w:val="42DE0D58"/>
    <w:rsid w:val="436D5ED7"/>
    <w:rsid w:val="438C0A54"/>
    <w:rsid w:val="438C32FD"/>
    <w:rsid w:val="43A23DD3"/>
    <w:rsid w:val="43A51B15"/>
    <w:rsid w:val="43CD4BC8"/>
    <w:rsid w:val="4416031D"/>
    <w:rsid w:val="443F5AC6"/>
    <w:rsid w:val="446B68BB"/>
    <w:rsid w:val="458A2D71"/>
    <w:rsid w:val="45F466D1"/>
    <w:rsid w:val="46222FA9"/>
    <w:rsid w:val="466E2DB5"/>
    <w:rsid w:val="468974CC"/>
    <w:rsid w:val="46B53E1D"/>
    <w:rsid w:val="46D91553"/>
    <w:rsid w:val="47381969"/>
    <w:rsid w:val="474E6020"/>
    <w:rsid w:val="47D02BDD"/>
    <w:rsid w:val="47DD7BC2"/>
    <w:rsid w:val="480037BE"/>
    <w:rsid w:val="48961A2D"/>
    <w:rsid w:val="489B7043"/>
    <w:rsid w:val="48F00798"/>
    <w:rsid w:val="49221512"/>
    <w:rsid w:val="493279A7"/>
    <w:rsid w:val="49616C9B"/>
    <w:rsid w:val="498875C7"/>
    <w:rsid w:val="4A01302F"/>
    <w:rsid w:val="4A3239D7"/>
    <w:rsid w:val="4A4261F3"/>
    <w:rsid w:val="4A58343D"/>
    <w:rsid w:val="4A6B5751"/>
    <w:rsid w:val="4A8C7088"/>
    <w:rsid w:val="4A9D52F4"/>
    <w:rsid w:val="4ACA3C0F"/>
    <w:rsid w:val="4ACE0E07"/>
    <w:rsid w:val="4ACF7478"/>
    <w:rsid w:val="4AF46B55"/>
    <w:rsid w:val="4B173F6B"/>
    <w:rsid w:val="4B3E655B"/>
    <w:rsid w:val="4B420352"/>
    <w:rsid w:val="4B49547C"/>
    <w:rsid w:val="4BF076A6"/>
    <w:rsid w:val="4C714C8A"/>
    <w:rsid w:val="4CBA013D"/>
    <w:rsid w:val="4D207E82"/>
    <w:rsid w:val="4D622825"/>
    <w:rsid w:val="4DF25957"/>
    <w:rsid w:val="4ED4505D"/>
    <w:rsid w:val="4F3302D4"/>
    <w:rsid w:val="4F385D8C"/>
    <w:rsid w:val="4F863D68"/>
    <w:rsid w:val="4FDD521D"/>
    <w:rsid w:val="50283DB3"/>
    <w:rsid w:val="505C355C"/>
    <w:rsid w:val="50B138A7"/>
    <w:rsid w:val="50E84DEF"/>
    <w:rsid w:val="51024103"/>
    <w:rsid w:val="510C6D30"/>
    <w:rsid w:val="512247A5"/>
    <w:rsid w:val="51316796"/>
    <w:rsid w:val="5135660D"/>
    <w:rsid w:val="516C77CE"/>
    <w:rsid w:val="518F583E"/>
    <w:rsid w:val="51A927D1"/>
    <w:rsid w:val="51B82A14"/>
    <w:rsid w:val="51CB2D12"/>
    <w:rsid w:val="51FC2152"/>
    <w:rsid w:val="520B348B"/>
    <w:rsid w:val="523F377A"/>
    <w:rsid w:val="525210BA"/>
    <w:rsid w:val="52524EF5"/>
    <w:rsid w:val="5252717F"/>
    <w:rsid w:val="528A7CD1"/>
    <w:rsid w:val="52A10D06"/>
    <w:rsid w:val="52AE6F76"/>
    <w:rsid w:val="52B07B8F"/>
    <w:rsid w:val="52F520FE"/>
    <w:rsid w:val="53E1516A"/>
    <w:rsid w:val="540006A2"/>
    <w:rsid w:val="540957A8"/>
    <w:rsid w:val="542344DA"/>
    <w:rsid w:val="542C106D"/>
    <w:rsid w:val="542F26FF"/>
    <w:rsid w:val="54674694"/>
    <w:rsid w:val="547713C1"/>
    <w:rsid w:val="548D0188"/>
    <w:rsid w:val="54B843BC"/>
    <w:rsid w:val="54C65448"/>
    <w:rsid w:val="54E766B1"/>
    <w:rsid w:val="552F2087"/>
    <w:rsid w:val="55325CA9"/>
    <w:rsid w:val="558772CD"/>
    <w:rsid w:val="55BB384D"/>
    <w:rsid w:val="55C7591B"/>
    <w:rsid w:val="561602FF"/>
    <w:rsid w:val="56306A8D"/>
    <w:rsid w:val="56530F5D"/>
    <w:rsid w:val="56951575"/>
    <w:rsid w:val="569972B8"/>
    <w:rsid w:val="56A47A0A"/>
    <w:rsid w:val="57030BD5"/>
    <w:rsid w:val="570A41E6"/>
    <w:rsid w:val="57513CA2"/>
    <w:rsid w:val="577540AA"/>
    <w:rsid w:val="579730CB"/>
    <w:rsid w:val="57A22C31"/>
    <w:rsid w:val="57AC0CEA"/>
    <w:rsid w:val="57ED7AB7"/>
    <w:rsid w:val="580A1AEF"/>
    <w:rsid w:val="58263024"/>
    <w:rsid w:val="58296419"/>
    <w:rsid w:val="586E02D0"/>
    <w:rsid w:val="586E6522"/>
    <w:rsid w:val="589B11A7"/>
    <w:rsid w:val="59197597"/>
    <w:rsid w:val="591D5165"/>
    <w:rsid w:val="596808C9"/>
    <w:rsid w:val="59754FB8"/>
    <w:rsid w:val="59A73A9A"/>
    <w:rsid w:val="59B60181"/>
    <w:rsid w:val="59DC5FF6"/>
    <w:rsid w:val="59E44CEE"/>
    <w:rsid w:val="5A1153B7"/>
    <w:rsid w:val="5A5654C0"/>
    <w:rsid w:val="5B1C2361"/>
    <w:rsid w:val="5B323290"/>
    <w:rsid w:val="5B776212"/>
    <w:rsid w:val="5BF1724E"/>
    <w:rsid w:val="5C1B251D"/>
    <w:rsid w:val="5C7540EF"/>
    <w:rsid w:val="5C963772"/>
    <w:rsid w:val="5D0D6309"/>
    <w:rsid w:val="5D297308"/>
    <w:rsid w:val="5D487332"/>
    <w:rsid w:val="5D59020B"/>
    <w:rsid w:val="5DA84284"/>
    <w:rsid w:val="5DCF3F97"/>
    <w:rsid w:val="5E8720EC"/>
    <w:rsid w:val="5EDD1F1F"/>
    <w:rsid w:val="5F0454EA"/>
    <w:rsid w:val="5F0E7FB7"/>
    <w:rsid w:val="5F17346F"/>
    <w:rsid w:val="5F3210DA"/>
    <w:rsid w:val="601174BC"/>
    <w:rsid w:val="604005D6"/>
    <w:rsid w:val="607448F1"/>
    <w:rsid w:val="60786190"/>
    <w:rsid w:val="607D5554"/>
    <w:rsid w:val="60A11691"/>
    <w:rsid w:val="60B116A2"/>
    <w:rsid w:val="614918DA"/>
    <w:rsid w:val="61553A84"/>
    <w:rsid w:val="616A1B0F"/>
    <w:rsid w:val="617821BF"/>
    <w:rsid w:val="617C2AF4"/>
    <w:rsid w:val="61B41449"/>
    <w:rsid w:val="61D07906"/>
    <w:rsid w:val="62976675"/>
    <w:rsid w:val="6299063F"/>
    <w:rsid w:val="62E97E8E"/>
    <w:rsid w:val="632D0EAC"/>
    <w:rsid w:val="637F540B"/>
    <w:rsid w:val="63984F57"/>
    <w:rsid w:val="63BF5E84"/>
    <w:rsid w:val="64370110"/>
    <w:rsid w:val="65315400"/>
    <w:rsid w:val="655B7E2E"/>
    <w:rsid w:val="65624D19"/>
    <w:rsid w:val="65687690"/>
    <w:rsid w:val="66F46B80"/>
    <w:rsid w:val="6716400D"/>
    <w:rsid w:val="67722BF7"/>
    <w:rsid w:val="67EB7247"/>
    <w:rsid w:val="68183DB4"/>
    <w:rsid w:val="682A028D"/>
    <w:rsid w:val="68594AF9"/>
    <w:rsid w:val="689F27E5"/>
    <w:rsid w:val="69232124"/>
    <w:rsid w:val="695D5F23"/>
    <w:rsid w:val="6A152CA1"/>
    <w:rsid w:val="6A3A0F4E"/>
    <w:rsid w:val="6A4175F2"/>
    <w:rsid w:val="6A7542F3"/>
    <w:rsid w:val="6A7A48B2"/>
    <w:rsid w:val="6ADA6398"/>
    <w:rsid w:val="6B1269F7"/>
    <w:rsid w:val="6C6A659D"/>
    <w:rsid w:val="6C977D36"/>
    <w:rsid w:val="6CA420BB"/>
    <w:rsid w:val="6CC83FFB"/>
    <w:rsid w:val="6CF96E63"/>
    <w:rsid w:val="6D3B5236"/>
    <w:rsid w:val="6D4C33D7"/>
    <w:rsid w:val="6D6830E8"/>
    <w:rsid w:val="6D7952F5"/>
    <w:rsid w:val="6D7A4B40"/>
    <w:rsid w:val="6DCA78FF"/>
    <w:rsid w:val="6DCC034C"/>
    <w:rsid w:val="6E160D96"/>
    <w:rsid w:val="6E4F76B4"/>
    <w:rsid w:val="6E5A27D1"/>
    <w:rsid w:val="6E810905"/>
    <w:rsid w:val="6EC66318"/>
    <w:rsid w:val="6F51652A"/>
    <w:rsid w:val="6F8F7052"/>
    <w:rsid w:val="6FAC213A"/>
    <w:rsid w:val="6FE80510"/>
    <w:rsid w:val="6FE873F5"/>
    <w:rsid w:val="70221C74"/>
    <w:rsid w:val="702705ED"/>
    <w:rsid w:val="703419A7"/>
    <w:rsid w:val="707B12E4"/>
    <w:rsid w:val="709331A1"/>
    <w:rsid w:val="70A33CFC"/>
    <w:rsid w:val="70AD6FF9"/>
    <w:rsid w:val="70AE3710"/>
    <w:rsid w:val="70C25F11"/>
    <w:rsid w:val="70C66AA3"/>
    <w:rsid w:val="70E5243F"/>
    <w:rsid w:val="71347EB1"/>
    <w:rsid w:val="713F23B2"/>
    <w:rsid w:val="71445C1A"/>
    <w:rsid w:val="7169742F"/>
    <w:rsid w:val="717C53B4"/>
    <w:rsid w:val="718A139F"/>
    <w:rsid w:val="71AF676B"/>
    <w:rsid w:val="71C034F3"/>
    <w:rsid w:val="71C90E6A"/>
    <w:rsid w:val="71F907B3"/>
    <w:rsid w:val="71FB452B"/>
    <w:rsid w:val="7224222D"/>
    <w:rsid w:val="72E96A79"/>
    <w:rsid w:val="7306587D"/>
    <w:rsid w:val="730C2768"/>
    <w:rsid w:val="73165394"/>
    <w:rsid w:val="73A34E7A"/>
    <w:rsid w:val="73B9469D"/>
    <w:rsid w:val="73C92407"/>
    <w:rsid w:val="73CF3EC1"/>
    <w:rsid w:val="73E82FB4"/>
    <w:rsid w:val="74055C57"/>
    <w:rsid w:val="749B05A8"/>
    <w:rsid w:val="74FB14A6"/>
    <w:rsid w:val="75100F41"/>
    <w:rsid w:val="75861B6C"/>
    <w:rsid w:val="75956A44"/>
    <w:rsid w:val="75F1258E"/>
    <w:rsid w:val="765F2917"/>
    <w:rsid w:val="76D05642"/>
    <w:rsid w:val="76EA2651"/>
    <w:rsid w:val="779276DF"/>
    <w:rsid w:val="779F33E2"/>
    <w:rsid w:val="77A15B74"/>
    <w:rsid w:val="780B56E4"/>
    <w:rsid w:val="7814453E"/>
    <w:rsid w:val="78571E51"/>
    <w:rsid w:val="7872306D"/>
    <w:rsid w:val="787D321D"/>
    <w:rsid w:val="7889409E"/>
    <w:rsid w:val="78DA3318"/>
    <w:rsid w:val="79002D6F"/>
    <w:rsid w:val="792D3CB9"/>
    <w:rsid w:val="79300659"/>
    <w:rsid w:val="79A30180"/>
    <w:rsid w:val="79D342B7"/>
    <w:rsid w:val="79FF3026"/>
    <w:rsid w:val="7A3727C0"/>
    <w:rsid w:val="7ADE49EA"/>
    <w:rsid w:val="7BA901EC"/>
    <w:rsid w:val="7BD45DC9"/>
    <w:rsid w:val="7BE95D3C"/>
    <w:rsid w:val="7D3B58E4"/>
    <w:rsid w:val="7D49264C"/>
    <w:rsid w:val="7DAC7021"/>
    <w:rsid w:val="7DC8507D"/>
    <w:rsid w:val="7DF033B2"/>
    <w:rsid w:val="7E060A67"/>
    <w:rsid w:val="7E6E2528"/>
    <w:rsid w:val="7EBC1CB6"/>
    <w:rsid w:val="7EBD0E93"/>
    <w:rsid w:val="7ECE2F3C"/>
    <w:rsid w:val="7F396A57"/>
    <w:rsid w:val="7F6A3146"/>
    <w:rsid w:val="7F8518D8"/>
    <w:rsid w:val="7FA849CB"/>
    <w:rsid w:val="7FC02E5E"/>
    <w:rsid w:val="7FC5209D"/>
    <w:rsid w:val="7FE85142"/>
    <w:rsid w:val="7FED68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5">
    <w:name w:val="heading 1"/>
    <w:basedOn w:val="1"/>
    <w:next w:val="1"/>
    <w:autoRedefine/>
    <w:qFormat/>
    <w:uiPriority w:val="0"/>
    <w:pPr>
      <w:keepNext/>
      <w:keepLines/>
      <w:spacing w:before="120" w:after="120"/>
      <w:ind w:left="415"/>
      <w:jc w:val="center"/>
      <w:outlineLvl w:val="0"/>
    </w:pPr>
    <w:rPr>
      <w:rFonts w:ascii="黑体" w:hAnsi="宋体" w:eastAsia="黑体"/>
      <w:b/>
      <w:kern w:val="44"/>
    </w:rPr>
  </w:style>
  <w:style w:type="paragraph" w:styleId="6">
    <w:name w:val="heading 2"/>
    <w:basedOn w:val="1"/>
    <w:next w:val="1"/>
    <w:link w:val="54"/>
    <w:autoRedefine/>
    <w:qFormat/>
    <w:uiPriority w:val="0"/>
    <w:pPr>
      <w:numPr>
        <w:ilvl w:val="0"/>
        <w:numId w:val="1"/>
      </w:numPr>
      <w:spacing w:before="360" w:after="120" w:afterLines="50" w:line="320" w:lineRule="exact"/>
      <w:jc w:val="center"/>
      <w:outlineLvl w:val="1"/>
    </w:pPr>
    <w:rPr>
      <w:rFonts w:eastAsia="黑体"/>
      <w:b/>
      <w:sz w:val="32"/>
    </w:rPr>
  </w:style>
  <w:style w:type="paragraph" w:styleId="7">
    <w:name w:val="heading 3"/>
    <w:basedOn w:val="1"/>
    <w:next w:val="1"/>
    <w:autoRedefine/>
    <w:qFormat/>
    <w:uiPriority w:val="0"/>
    <w:pPr>
      <w:keepNext/>
      <w:keepLines/>
      <w:numPr>
        <w:ilvl w:val="0"/>
        <w:numId w:val="2"/>
      </w:numPr>
      <w:tabs>
        <w:tab w:val="left" w:pos="287"/>
      </w:tabs>
      <w:spacing w:before="360" w:line="288" w:lineRule="auto"/>
      <w:jc w:val="left"/>
      <w:outlineLvl w:val="2"/>
    </w:pPr>
    <w:rPr>
      <w:rFonts w:ascii="黑体" w:hAnsi="宋体" w:eastAsia="黑体"/>
      <w:b/>
      <w:sz w:val="21"/>
    </w:rPr>
  </w:style>
  <w:style w:type="paragraph" w:styleId="8">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paragraph" w:styleId="10">
    <w:name w:val="heading 6"/>
    <w:basedOn w:val="1"/>
    <w:next w:val="1"/>
    <w:autoRedefine/>
    <w:qFormat/>
    <w:uiPriority w:val="0"/>
    <w:pPr>
      <w:keepNext/>
      <w:keepLines/>
      <w:spacing w:before="240" w:after="64" w:line="320" w:lineRule="auto"/>
      <w:outlineLvl w:val="5"/>
    </w:pPr>
    <w:rPr>
      <w:rFonts w:ascii="Arial" w:hAnsi="Arial" w:eastAsia="黑体"/>
      <w:b/>
      <w:bCs/>
      <w:sz w:val="24"/>
      <w:szCs w:val="24"/>
    </w:rPr>
  </w:style>
  <w:style w:type="paragraph" w:styleId="11">
    <w:name w:val="heading 7"/>
    <w:basedOn w:val="1"/>
    <w:next w:val="1"/>
    <w:autoRedefine/>
    <w:qFormat/>
    <w:uiPriority w:val="0"/>
    <w:pPr>
      <w:keepNext/>
      <w:keepLines/>
      <w:spacing w:before="240" w:after="64" w:line="320" w:lineRule="auto"/>
      <w:outlineLvl w:val="6"/>
    </w:pPr>
    <w:rPr>
      <w:b/>
      <w:bCs/>
      <w:sz w:val="24"/>
      <w:szCs w:val="24"/>
    </w:rPr>
  </w:style>
  <w:style w:type="paragraph" w:styleId="12">
    <w:name w:val="heading 8"/>
    <w:basedOn w:val="1"/>
    <w:next w:val="1"/>
    <w:autoRedefine/>
    <w:qFormat/>
    <w:uiPriority w:val="0"/>
    <w:pPr>
      <w:keepNext/>
      <w:keepLines/>
      <w:spacing w:before="240" w:after="64" w:line="320" w:lineRule="auto"/>
      <w:outlineLvl w:val="7"/>
    </w:pPr>
    <w:rPr>
      <w:rFonts w:ascii="Arial" w:hAnsi="Arial" w:eastAsia="黑体"/>
      <w:sz w:val="24"/>
      <w:szCs w:val="24"/>
    </w:rPr>
  </w:style>
  <w:style w:type="paragraph" w:styleId="13">
    <w:name w:val="heading 9"/>
    <w:basedOn w:val="1"/>
    <w:next w:val="1"/>
    <w:autoRedefine/>
    <w:qFormat/>
    <w:uiPriority w:val="0"/>
    <w:pPr>
      <w:keepNext/>
      <w:keepLines/>
      <w:spacing w:before="240" w:after="64" w:line="320" w:lineRule="auto"/>
      <w:outlineLvl w:val="8"/>
    </w:pPr>
    <w:rPr>
      <w:rFonts w:ascii="Arial" w:hAnsi="Arial" w:eastAsia="黑体"/>
      <w:sz w:val="21"/>
      <w:szCs w:val="21"/>
    </w:rPr>
  </w:style>
  <w:style w:type="character" w:default="1" w:styleId="47">
    <w:name w:val="Default Paragraph Font"/>
    <w:autoRedefine/>
    <w:semiHidden/>
    <w:qFormat/>
    <w:uiPriority w:val="0"/>
  </w:style>
  <w:style w:type="table" w:default="1" w:styleId="45">
    <w:name w:val="Normal Table"/>
    <w:autoRedefine/>
    <w:semiHidden/>
    <w:qFormat/>
    <w:uiPriority w:val="0"/>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kern w:val="0"/>
    </w:rPr>
  </w:style>
  <w:style w:type="paragraph" w:customStyle="1" w:styleId="3">
    <w:name w:val="表格文字（两侧对齐）"/>
    <w:basedOn w:val="1"/>
    <w:qFormat/>
    <w:uiPriority w:val="0"/>
    <w:pPr>
      <w:snapToGrid w:val="0"/>
    </w:pPr>
    <w:rPr>
      <w:sz w:val="20"/>
      <w:szCs w:val="24"/>
    </w:rPr>
  </w:style>
  <w:style w:type="paragraph" w:styleId="4">
    <w:name w:val="Body Text"/>
    <w:basedOn w:val="1"/>
    <w:next w:val="1"/>
    <w:link w:val="53"/>
    <w:autoRedefine/>
    <w:qFormat/>
    <w:uiPriority w:val="0"/>
    <w:pPr>
      <w:tabs>
        <w:tab w:val="left" w:pos="574"/>
      </w:tabs>
      <w:spacing w:line="288" w:lineRule="auto"/>
    </w:pPr>
    <w:rPr>
      <w:rFonts w:ascii="宋体" w:hAnsi="宋体" w:eastAsia="宋体"/>
      <w:sz w:val="21"/>
    </w:rPr>
  </w:style>
  <w:style w:type="paragraph" w:styleId="14">
    <w:name w:val="toc 7"/>
    <w:basedOn w:val="1"/>
    <w:next w:val="1"/>
    <w:autoRedefine/>
    <w:semiHidden/>
    <w:qFormat/>
    <w:uiPriority w:val="0"/>
    <w:pPr>
      <w:ind w:left="1920"/>
      <w:jc w:val="left"/>
    </w:pPr>
    <w:rPr>
      <w:szCs w:val="21"/>
    </w:rPr>
  </w:style>
  <w:style w:type="paragraph" w:styleId="15">
    <w:name w:val="Normal Indent"/>
    <w:basedOn w:val="1"/>
    <w:autoRedefine/>
    <w:qFormat/>
    <w:uiPriority w:val="0"/>
    <w:pPr>
      <w:ind w:firstLine="420"/>
    </w:pPr>
  </w:style>
  <w:style w:type="paragraph" w:styleId="16">
    <w:name w:val="Document Map"/>
    <w:basedOn w:val="1"/>
    <w:autoRedefine/>
    <w:semiHidden/>
    <w:qFormat/>
    <w:uiPriority w:val="0"/>
    <w:pPr>
      <w:shd w:val="clear" w:color="auto" w:fill="000080"/>
    </w:pPr>
  </w:style>
  <w:style w:type="paragraph" w:styleId="17">
    <w:name w:val="toa heading"/>
    <w:basedOn w:val="1"/>
    <w:next w:val="1"/>
    <w:autoRedefine/>
    <w:semiHidden/>
    <w:qFormat/>
    <w:uiPriority w:val="0"/>
    <w:pPr>
      <w:spacing w:before="120"/>
    </w:pPr>
    <w:rPr>
      <w:rFonts w:ascii="Arial" w:hAnsi="Arial" w:eastAsia="宋体" w:cs="Arial"/>
      <w:sz w:val="24"/>
      <w:szCs w:val="24"/>
    </w:rPr>
  </w:style>
  <w:style w:type="paragraph" w:styleId="18">
    <w:name w:val="Body Text 3"/>
    <w:basedOn w:val="1"/>
    <w:autoRedefine/>
    <w:qFormat/>
    <w:uiPriority w:val="0"/>
    <w:pPr>
      <w:spacing w:line="360" w:lineRule="auto"/>
      <w:jc w:val="center"/>
    </w:pPr>
    <w:rPr>
      <w:rFonts w:ascii="宋体" w:hAnsi="宋体" w:eastAsia="宋体"/>
      <w:bCs/>
      <w:iCs/>
      <w:sz w:val="21"/>
      <w:szCs w:val="28"/>
    </w:rPr>
  </w:style>
  <w:style w:type="paragraph" w:styleId="19">
    <w:name w:val="List Bullet 3"/>
    <w:basedOn w:val="1"/>
    <w:qFormat/>
    <w:uiPriority w:val="0"/>
    <w:pPr>
      <w:numPr>
        <w:ilvl w:val="0"/>
        <w:numId w:val="3"/>
      </w:numPr>
    </w:pPr>
  </w:style>
  <w:style w:type="paragraph" w:styleId="20">
    <w:name w:val="Body Text Indent"/>
    <w:basedOn w:val="1"/>
    <w:next w:val="21"/>
    <w:autoRedefine/>
    <w:qFormat/>
    <w:uiPriority w:val="0"/>
    <w:pPr>
      <w:ind w:firstLine="600"/>
    </w:pPr>
    <w:rPr>
      <w:sz w:val="30"/>
    </w:rPr>
  </w:style>
  <w:style w:type="paragraph" w:styleId="21">
    <w:name w:val="envelope return"/>
    <w:basedOn w:val="1"/>
    <w:autoRedefine/>
    <w:qFormat/>
    <w:uiPriority w:val="0"/>
    <w:pPr>
      <w:snapToGrid w:val="0"/>
      <w:spacing w:line="400" w:lineRule="exact"/>
    </w:pPr>
    <w:rPr>
      <w:rFonts w:ascii="Arial" w:hAnsi="Arial"/>
      <w:szCs w:val="20"/>
    </w:rPr>
  </w:style>
  <w:style w:type="paragraph" w:styleId="22">
    <w:name w:val="Block Text"/>
    <w:basedOn w:val="1"/>
    <w:autoRedefine/>
    <w:qFormat/>
    <w:uiPriority w:val="0"/>
    <w:pPr>
      <w:spacing w:line="240" w:lineRule="exact"/>
      <w:ind w:left="475" w:leftChars="240" w:right="292" w:rightChars="292" w:firstLine="473"/>
    </w:pPr>
    <w:rPr>
      <w:rFonts w:ascii="宋体" w:hAnsi="宋体"/>
      <w:spacing w:val="-6"/>
      <w:szCs w:val="20"/>
    </w:rPr>
  </w:style>
  <w:style w:type="paragraph" w:styleId="23">
    <w:name w:val="toc 5"/>
    <w:basedOn w:val="1"/>
    <w:next w:val="1"/>
    <w:autoRedefine/>
    <w:semiHidden/>
    <w:qFormat/>
    <w:uiPriority w:val="0"/>
    <w:pPr>
      <w:ind w:left="1280"/>
      <w:jc w:val="left"/>
    </w:pPr>
    <w:rPr>
      <w:szCs w:val="21"/>
    </w:rPr>
  </w:style>
  <w:style w:type="paragraph" w:styleId="24">
    <w:name w:val="toc 3"/>
    <w:basedOn w:val="1"/>
    <w:next w:val="1"/>
    <w:autoRedefine/>
    <w:semiHidden/>
    <w:qFormat/>
    <w:uiPriority w:val="0"/>
    <w:pPr>
      <w:ind w:left="640"/>
      <w:jc w:val="left"/>
    </w:pPr>
    <w:rPr>
      <w:i/>
      <w:iCs/>
      <w:szCs w:val="24"/>
    </w:rPr>
  </w:style>
  <w:style w:type="paragraph" w:styleId="25">
    <w:name w:val="Plain Text"/>
    <w:basedOn w:val="1"/>
    <w:link w:val="55"/>
    <w:autoRedefine/>
    <w:qFormat/>
    <w:uiPriority w:val="0"/>
    <w:rPr>
      <w:rFonts w:ascii="宋体" w:hAnsi="Courier New" w:eastAsia="宋体"/>
      <w:sz w:val="21"/>
    </w:rPr>
  </w:style>
  <w:style w:type="paragraph" w:styleId="26">
    <w:name w:val="toc 8"/>
    <w:basedOn w:val="1"/>
    <w:next w:val="1"/>
    <w:autoRedefine/>
    <w:semiHidden/>
    <w:qFormat/>
    <w:uiPriority w:val="0"/>
    <w:pPr>
      <w:ind w:left="2240"/>
      <w:jc w:val="left"/>
    </w:pPr>
    <w:rPr>
      <w:szCs w:val="21"/>
    </w:rPr>
  </w:style>
  <w:style w:type="paragraph" w:styleId="27">
    <w:name w:val="Date"/>
    <w:basedOn w:val="1"/>
    <w:next w:val="1"/>
    <w:autoRedefine/>
    <w:qFormat/>
    <w:uiPriority w:val="0"/>
    <w:rPr>
      <w:sz w:val="28"/>
    </w:rPr>
  </w:style>
  <w:style w:type="paragraph" w:styleId="28">
    <w:name w:val="Body Text Indent 2"/>
    <w:basedOn w:val="1"/>
    <w:autoRedefine/>
    <w:qFormat/>
    <w:uiPriority w:val="0"/>
    <w:pPr>
      <w:ind w:firstLine="600"/>
    </w:pPr>
    <w:rPr>
      <w:color w:val="000080"/>
      <w:sz w:val="30"/>
    </w:rPr>
  </w:style>
  <w:style w:type="paragraph" w:styleId="29">
    <w:name w:val="Balloon Text"/>
    <w:basedOn w:val="1"/>
    <w:autoRedefine/>
    <w:semiHidden/>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2">
    <w:name w:val="toc 1"/>
    <w:basedOn w:val="1"/>
    <w:next w:val="1"/>
    <w:autoRedefine/>
    <w:semiHidden/>
    <w:qFormat/>
    <w:uiPriority w:val="0"/>
    <w:pPr>
      <w:tabs>
        <w:tab w:val="right" w:leader="dot" w:pos="9232"/>
      </w:tabs>
      <w:spacing w:before="120" w:after="120"/>
      <w:jc w:val="left"/>
    </w:pPr>
    <w:rPr>
      <w:rFonts w:ascii="宋体" w:hAnsi="宋体" w:eastAsia="宋体"/>
      <w:b/>
      <w:bCs/>
      <w:caps/>
      <w:color w:val="000000"/>
      <w:sz w:val="21"/>
      <w:szCs w:val="21"/>
    </w:rPr>
  </w:style>
  <w:style w:type="paragraph" w:styleId="33">
    <w:name w:val="toc 4"/>
    <w:basedOn w:val="1"/>
    <w:next w:val="1"/>
    <w:autoRedefine/>
    <w:semiHidden/>
    <w:qFormat/>
    <w:uiPriority w:val="0"/>
    <w:pPr>
      <w:ind w:left="960"/>
      <w:jc w:val="left"/>
    </w:pPr>
    <w:rPr>
      <w:szCs w:val="21"/>
    </w:rPr>
  </w:style>
  <w:style w:type="paragraph" w:styleId="34">
    <w:name w:val="footnote text"/>
    <w:basedOn w:val="1"/>
    <w:autoRedefine/>
    <w:semiHidden/>
    <w:qFormat/>
    <w:uiPriority w:val="0"/>
    <w:pPr>
      <w:snapToGrid w:val="0"/>
      <w:jc w:val="left"/>
    </w:pPr>
    <w:rPr>
      <w:sz w:val="18"/>
    </w:rPr>
  </w:style>
  <w:style w:type="paragraph" w:styleId="35">
    <w:name w:val="toc 6"/>
    <w:basedOn w:val="1"/>
    <w:next w:val="1"/>
    <w:autoRedefine/>
    <w:semiHidden/>
    <w:qFormat/>
    <w:uiPriority w:val="0"/>
    <w:pPr>
      <w:ind w:left="1600"/>
      <w:jc w:val="left"/>
    </w:pPr>
    <w:rPr>
      <w:szCs w:val="21"/>
    </w:rPr>
  </w:style>
  <w:style w:type="paragraph" w:styleId="36">
    <w:name w:val="Body Text Indent 3"/>
    <w:basedOn w:val="1"/>
    <w:autoRedefine/>
    <w:qFormat/>
    <w:uiPriority w:val="0"/>
    <w:pPr>
      <w:ind w:firstLine="600"/>
    </w:pPr>
    <w:rPr>
      <w:sz w:val="28"/>
    </w:rPr>
  </w:style>
  <w:style w:type="paragraph" w:styleId="37">
    <w:name w:val="table of figures"/>
    <w:basedOn w:val="1"/>
    <w:next w:val="1"/>
    <w:autoRedefine/>
    <w:semiHidden/>
    <w:qFormat/>
    <w:uiPriority w:val="0"/>
    <w:pPr>
      <w:ind w:left="840" w:leftChars="200" w:hanging="420" w:hangingChars="200"/>
    </w:pPr>
  </w:style>
  <w:style w:type="paragraph" w:styleId="38">
    <w:name w:val="toc 2"/>
    <w:basedOn w:val="1"/>
    <w:next w:val="1"/>
    <w:autoRedefine/>
    <w:semiHidden/>
    <w:qFormat/>
    <w:uiPriority w:val="0"/>
    <w:pPr>
      <w:tabs>
        <w:tab w:val="left" w:pos="1290"/>
        <w:tab w:val="right" w:leader="dot" w:pos="9232"/>
      </w:tabs>
      <w:ind w:left="320"/>
      <w:jc w:val="left"/>
    </w:pPr>
    <w:rPr>
      <w:rFonts w:ascii="宋体" w:hAnsi="宋体" w:eastAsia="宋体"/>
      <w:smallCaps/>
      <w:color w:val="000000"/>
      <w:sz w:val="21"/>
      <w:szCs w:val="21"/>
    </w:rPr>
  </w:style>
  <w:style w:type="paragraph" w:styleId="39">
    <w:name w:val="toc 9"/>
    <w:basedOn w:val="1"/>
    <w:next w:val="1"/>
    <w:autoRedefine/>
    <w:semiHidden/>
    <w:qFormat/>
    <w:uiPriority w:val="0"/>
    <w:pPr>
      <w:ind w:left="2560"/>
      <w:jc w:val="left"/>
    </w:pPr>
    <w:rPr>
      <w:szCs w:val="21"/>
    </w:rPr>
  </w:style>
  <w:style w:type="paragraph" w:styleId="40">
    <w:name w:val="Body Text 2"/>
    <w:basedOn w:val="1"/>
    <w:autoRedefine/>
    <w:qFormat/>
    <w:uiPriority w:val="0"/>
    <w:pPr>
      <w:jc w:val="center"/>
    </w:pPr>
    <w:rPr>
      <w:rFonts w:eastAsia="宋体"/>
      <w:b/>
      <w:bCs/>
      <w:sz w:val="28"/>
    </w:rPr>
  </w:style>
  <w:style w:type="paragraph" w:styleId="41">
    <w:name w:val="Normal (Web)"/>
    <w:basedOn w:val="1"/>
    <w:autoRedefine/>
    <w:qFormat/>
    <w:uiPriority w:val="0"/>
    <w:pPr>
      <w:widowControl/>
      <w:spacing w:before="100" w:beforeAutospacing="1" w:after="100" w:afterAutospacing="1"/>
      <w:jc w:val="left"/>
    </w:pPr>
    <w:rPr>
      <w:rFonts w:ascii="宋体" w:hAnsi="宋体" w:eastAsia="宋体"/>
      <w:color w:val="000000"/>
      <w:kern w:val="0"/>
      <w:sz w:val="24"/>
      <w:szCs w:val="24"/>
    </w:rPr>
  </w:style>
  <w:style w:type="paragraph" w:styleId="42">
    <w:name w:val="Title"/>
    <w:basedOn w:val="1"/>
    <w:next w:val="1"/>
    <w:autoRedefine/>
    <w:qFormat/>
    <w:uiPriority w:val="0"/>
    <w:pPr>
      <w:spacing w:before="240" w:after="60"/>
      <w:jc w:val="center"/>
      <w:outlineLvl w:val="0"/>
    </w:pPr>
    <w:rPr>
      <w:rFonts w:ascii="Arial" w:hAnsi="Arial" w:eastAsia="宋体" w:cs="Arial"/>
      <w:b/>
      <w:bCs/>
      <w:szCs w:val="32"/>
    </w:rPr>
  </w:style>
  <w:style w:type="paragraph" w:styleId="43">
    <w:name w:val="Body Text First Indent"/>
    <w:basedOn w:val="4"/>
    <w:next w:val="35"/>
    <w:autoRedefine/>
    <w:qFormat/>
    <w:uiPriority w:val="0"/>
    <w:pPr>
      <w:spacing w:beforeLines="50" w:after="0" w:line="400" w:lineRule="exact"/>
      <w:ind w:firstLine="420" w:firstLineChars="100"/>
    </w:pPr>
    <w:rPr>
      <w:szCs w:val="20"/>
    </w:rPr>
  </w:style>
  <w:style w:type="paragraph" w:styleId="44">
    <w:name w:val="Body Text First Indent 2"/>
    <w:basedOn w:val="20"/>
    <w:next w:val="22"/>
    <w:autoRedefine/>
    <w:qFormat/>
    <w:uiPriority w:val="0"/>
    <w:pPr>
      <w:spacing w:beforeLines="50" w:line="400" w:lineRule="exact"/>
      <w:ind w:firstLine="420" w:firstLineChars="200"/>
    </w:pPr>
    <w:rPr>
      <w:szCs w:val="20"/>
    </w:r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rPr>
  </w:style>
  <w:style w:type="character" w:styleId="49">
    <w:name w:val="page number"/>
    <w:basedOn w:val="47"/>
    <w:autoRedefine/>
    <w:qFormat/>
    <w:uiPriority w:val="0"/>
  </w:style>
  <w:style w:type="character" w:styleId="50">
    <w:name w:val="FollowedHyperlink"/>
    <w:basedOn w:val="47"/>
    <w:autoRedefine/>
    <w:qFormat/>
    <w:uiPriority w:val="0"/>
    <w:rPr>
      <w:color w:val="800080"/>
      <w:u w:val="single"/>
    </w:rPr>
  </w:style>
  <w:style w:type="character" w:styleId="51">
    <w:name w:val="Hyperlink"/>
    <w:basedOn w:val="47"/>
    <w:autoRedefine/>
    <w:qFormat/>
    <w:uiPriority w:val="0"/>
    <w:rPr>
      <w:color w:val="0000FF"/>
      <w:u w:val="single"/>
    </w:rPr>
  </w:style>
  <w:style w:type="character" w:styleId="52">
    <w:name w:val="footnote reference"/>
    <w:basedOn w:val="47"/>
    <w:autoRedefine/>
    <w:semiHidden/>
    <w:qFormat/>
    <w:uiPriority w:val="0"/>
    <w:rPr>
      <w:vertAlign w:val="superscript"/>
    </w:rPr>
  </w:style>
  <w:style w:type="character" w:customStyle="1" w:styleId="53">
    <w:name w:val="正文文本 Char"/>
    <w:basedOn w:val="47"/>
    <w:link w:val="4"/>
    <w:autoRedefine/>
    <w:qFormat/>
    <w:uiPriority w:val="0"/>
    <w:rPr>
      <w:rFonts w:ascii="宋体" w:hAnsi="宋体" w:eastAsia="宋体"/>
      <w:kern w:val="2"/>
      <w:sz w:val="21"/>
      <w:lang w:val="en-US" w:eastAsia="zh-CN" w:bidi="ar-SA"/>
    </w:rPr>
  </w:style>
  <w:style w:type="character" w:customStyle="1" w:styleId="54">
    <w:name w:val="标题 2 Char"/>
    <w:basedOn w:val="47"/>
    <w:link w:val="6"/>
    <w:autoRedefine/>
    <w:qFormat/>
    <w:uiPriority w:val="0"/>
    <w:rPr>
      <w:rFonts w:ascii="Arial" w:hAnsi="Arial" w:eastAsia="黑体" w:cs="Arial"/>
      <w:b/>
      <w:kern w:val="2"/>
      <w:sz w:val="32"/>
      <w:szCs w:val="24"/>
      <w:lang w:val="en-US" w:eastAsia="zh-CN" w:bidi="ar-SA"/>
    </w:rPr>
  </w:style>
  <w:style w:type="character" w:customStyle="1" w:styleId="55">
    <w:name w:val="纯文本 Char"/>
    <w:basedOn w:val="47"/>
    <w:link w:val="25"/>
    <w:autoRedefine/>
    <w:qFormat/>
    <w:uiPriority w:val="0"/>
    <w:rPr>
      <w:rFonts w:ascii="宋体" w:hAnsi="Courier New" w:eastAsia="宋体"/>
      <w:kern w:val="2"/>
      <w:sz w:val="21"/>
      <w:lang w:val="en-US" w:eastAsia="zh-CN" w:bidi="ar-SA"/>
    </w:rPr>
  </w:style>
  <w:style w:type="paragraph" w:customStyle="1" w:styleId="56">
    <w:name w:val=" Char Char Char Char Char Char"/>
    <w:basedOn w:val="1"/>
    <w:autoRedefine/>
    <w:qFormat/>
    <w:uiPriority w:val="0"/>
    <w:pPr>
      <w:spacing w:line="360" w:lineRule="auto"/>
      <w:ind w:firstLine="200" w:firstLineChars="200"/>
    </w:pPr>
    <w:rPr>
      <w:rFonts w:ascii="宋体" w:hAnsi="宋体" w:eastAsia="宋体" w:cs="宋体"/>
      <w:sz w:val="24"/>
      <w:szCs w:val="24"/>
    </w:rPr>
  </w:style>
  <w:style w:type="paragraph" w:customStyle="1" w:styleId="57">
    <w:name w:val="_Style 13"/>
    <w:basedOn w:val="1"/>
    <w:autoRedefine/>
    <w:qFormat/>
    <w:uiPriority w:val="0"/>
    <w:pPr>
      <w:jc w:val="center"/>
    </w:pPr>
    <w:rPr>
      <w:rFonts w:ascii="仿宋_GB2312" w:eastAsia="宋体"/>
      <w:b/>
      <w:kern w:val="0"/>
      <w:sz w:val="21"/>
      <w:szCs w:val="32"/>
      <w:lang w:val="en-GB"/>
    </w:rPr>
  </w:style>
  <w:style w:type="paragraph" w:customStyle="1" w:styleId="58">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eastAsia="宋体"/>
      <w:sz w:val="21"/>
    </w:rPr>
  </w:style>
  <w:style w:type="paragraph" w:customStyle="1" w:styleId="59">
    <w:name w:val="样式1"/>
    <w:basedOn w:val="1"/>
    <w:autoRedefine/>
    <w:qFormat/>
    <w:uiPriority w:val="0"/>
    <w:pPr>
      <w:widowControl/>
      <w:wordWrap w:val="0"/>
      <w:adjustRightInd w:val="0"/>
      <w:snapToGrid w:val="0"/>
      <w:spacing w:after="50" w:line="360" w:lineRule="auto"/>
      <w:ind w:firstLine="960" w:firstLineChars="300"/>
      <w:jc w:val="right"/>
    </w:pPr>
    <w:rPr>
      <w:rFonts w:ascii="宋体" w:hAnsi="宋体" w:eastAsia="宋体"/>
      <w:color w:val="000000"/>
      <w:sz w:val="18"/>
      <w:szCs w:val="18"/>
      <w:u w:val="single"/>
    </w:rPr>
  </w:style>
  <w:style w:type="paragraph" w:customStyle="1" w:styleId="60">
    <w:name w:val=" Char2"/>
    <w:basedOn w:val="1"/>
    <w:autoRedefine/>
    <w:qFormat/>
    <w:uiPriority w:val="0"/>
    <w:rPr>
      <w:rFonts w:ascii="仿宋_GB2312"/>
      <w:b/>
      <w:szCs w:val="32"/>
    </w:rPr>
  </w:style>
  <w:style w:type="paragraph" w:customStyle="1" w:styleId="61">
    <w:name w:val=" Char Char Char Char"/>
    <w:basedOn w:val="1"/>
    <w:autoRedefine/>
    <w:qFormat/>
    <w:uiPriority w:val="0"/>
    <w:pPr>
      <w:widowControl/>
      <w:spacing w:after="160" w:line="240" w:lineRule="exact"/>
      <w:jc w:val="left"/>
    </w:pPr>
    <w:rPr>
      <w:rFonts w:ascii="Verdana" w:hAnsi="Verdana" w:eastAsia="宋体" w:cs="Verdana"/>
      <w:kern w:val="0"/>
      <w:sz w:val="20"/>
      <w:lang w:eastAsia="en-US"/>
    </w:rPr>
  </w:style>
  <w:style w:type="paragraph" w:customStyle="1" w:styleId="62">
    <w:name w:val="简单回函地址"/>
    <w:basedOn w:val="1"/>
    <w:autoRedefine/>
    <w:qFormat/>
    <w:uiPriority w:val="0"/>
  </w:style>
  <w:style w:type="paragraph" w:customStyle="1" w:styleId="63">
    <w:name w:val="样式 标题 2 + 段前: 1 行"/>
    <w:basedOn w:val="6"/>
    <w:autoRedefine/>
    <w:qFormat/>
    <w:uiPriority w:val="0"/>
    <w:pPr>
      <w:numPr>
        <w:ilvl w:val="0"/>
        <w:numId w:val="2"/>
      </w:numPr>
      <w:spacing w:before="0" w:after="0" w:afterLines="0" w:line="440" w:lineRule="exact"/>
      <w:ind w:left="0" w:firstLine="0"/>
    </w:pPr>
    <w:rPr>
      <w:rFonts w:cs="宋体"/>
      <w:bCs/>
      <w:szCs w:val="20"/>
    </w:rPr>
  </w:style>
  <w:style w:type="paragraph" w:customStyle="1" w:styleId="64">
    <w:name w:val="Blockquote"/>
    <w:basedOn w:val="1"/>
    <w:autoRedefine/>
    <w:qFormat/>
    <w:uiPriority w:val="0"/>
    <w:pPr>
      <w:autoSpaceDE w:val="0"/>
      <w:autoSpaceDN w:val="0"/>
      <w:adjustRightInd w:val="0"/>
      <w:spacing w:before="100" w:after="100"/>
      <w:ind w:left="360" w:right="360"/>
      <w:jc w:val="left"/>
    </w:pPr>
    <w:rPr>
      <w:rFonts w:eastAsia="宋体"/>
      <w:kern w:val="0"/>
      <w:sz w:val="24"/>
    </w:rPr>
  </w:style>
  <w:style w:type="paragraph" w:customStyle="1" w:styleId="65">
    <w:name w:val="List Paragraph"/>
    <w:basedOn w:val="1"/>
    <w:autoRedefine/>
    <w:qFormat/>
    <w:uiPriority w:val="0"/>
    <w:pPr>
      <w:ind w:firstLine="420" w:firstLineChars="200"/>
    </w:pPr>
    <w:rPr>
      <w:rFonts w:ascii="Calibri" w:hAnsi="Calibri" w:eastAsia="宋体" w:cs="Calibri"/>
      <w:sz w:val="21"/>
      <w:szCs w:val="21"/>
    </w:rPr>
  </w:style>
  <w:style w:type="paragraph" w:customStyle="1" w:styleId="66">
    <w:name w:val="标题4"/>
    <w:basedOn w:val="1"/>
    <w:autoRedefine/>
    <w:qFormat/>
    <w:uiPriority w:val="0"/>
  </w:style>
  <w:style w:type="paragraph" w:customStyle="1" w:styleId="67">
    <w:name w:val="xl4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68">
    <w:name w:val="样式 标题 2 + Times New Roman 四号 非加粗 段前: 5 磅 段后: 0 磅 行距: 固定值 20..."/>
    <w:basedOn w:val="6"/>
    <w:autoRedefine/>
    <w:qFormat/>
    <w:uiPriority w:val="0"/>
    <w:pPr>
      <w:keepNext/>
      <w:keepLines/>
      <w:numPr>
        <w:ilvl w:val="0"/>
        <w:numId w:val="0"/>
      </w:numPr>
      <w:spacing w:before="100" w:after="0" w:afterLines="0" w:line="400" w:lineRule="exact"/>
      <w:jc w:val="both"/>
    </w:pPr>
    <w:rPr>
      <w:rFonts w:ascii="Times New Roman" w:hAnsi="Times New Roman" w:cs="宋体"/>
      <w:b w:val="0"/>
      <w:sz w:val="28"/>
      <w:szCs w:val="20"/>
    </w:rPr>
  </w:style>
  <w:style w:type="paragraph" w:customStyle="1" w:styleId="69">
    <w:name w:val="Char Char Char Char Char Char"/>
    <w:basedOn w:val="1"/>
    <w:autoRedefine/>
    <w:qFormat/>
    <w:uiPriority w:val="0"/>
    <w:pPr>
      <w:spacing w:line="360" w:lineRule="auto"/>
      <w:ind w:firstLine="200" w:firstLineChars="200"/>
    </w:pPr>
    <w:rPr>
      <w:rFonts w:ascii="仿宋_GB2312" w:eastAsia="Times New Roman"/>
      <w:b/>
      <w:kern w:val="0"/>
      <w:sz w:val="20"/>
      <w:szCs w:val="32"/>
      <w:lang w:val="en-GB"/>
    </w:rPr>
  </w:style>
  <w:style w:type="paragraph" w:customStyle="1" w:styleId="70">
    <w:name w:val="内文正文"/>
    <w:autoRedefine/>
    <w:qFormat/>
    <w:uiPriority w:val="0"/>
    <w:pPr>
      <w:autoSpaceDE w:val="0"/>
      <w:autoSpaceDN w:val="0"/>
      <w:spacing w:line="288" w:lineRule="auto"/>
      <w:ind w:firstLine="200" w:firstLineChars="200"/>
      <w:jc w:val="both"/>
      <w:textAlignment w:val="bottom"/>
    </w:pPr>
    <w:rPr>
      <w:rFonts w:ascii="宋体" w:hAnsi="???|CS?o｡ﾀ?" w:eastAsia="宋体" w:cs="Times New Roman"/>
      <w:sz w:val="21"/>
      <w:szCs w:val="28"/>
      <w:lang w:val="en-US" w:eastAsia="zh-CN" w:bidi="ar-SA"/>
    </w:rPr>
  </w:style>
  <w:style w:type="paragraph" w:customStyle="1" w:styleId="71">
    <w:name w:val=" 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eastAsia="宋体"/>
      <w:sz w:val="21"/>
    </w:rPr>
  </w:style>
  <w:style w:type="paragraph" w:customStyle="1" w:styleId="72">
    <w:name w:val="样式 标题 1 + 行距: 固定值 16 磅"/>
    <w:basedOn w:val="5"/>
    <w:autoRedefine/>
    <w:qFormat/>
    <w:uiPriority w:val="0"/>
    <w:pPr>
      <w:spacing w:line="440" w:lineRule="exact"/>
      <w:ind w:left="0"/>
    </w:pPr>
    <w:rPr>
      <w:rFonts w:ascii="宋体" w:eastAsia="宋体" w:cs="宋体"/>
      <w:bCs/>
      <w:sz w:val="44"/>
    </w:rPr>
  </w:style>
  <w:style w:type="paragraph" w:customStyle="1" w:styleId="73">
    <w:name w:val=" Char1"/>
    <w:basedOn w:val="1"/>
    <w:autoRedefine/>
    <w:qFormat/>
    <w:uiPriority w:val="0"/>
    <w:pPr>
      <w:jc w:val="center"/>
    </w:pPr>
    <w:rPr>
      <w:rFonts w:ascii="仿宋_GB2312"/>
      <w:b/>
      <w:kern w:val="0"/>
      <w:szCs w:val="32"/>
      <w:lang w:val="en-GB"/>
    </w:rPr>
  </w:style>
  <w:style w:type="paragraph" w:customStyle="1" w:styleId="74">
    <w:name w:val="p0"/>
    <w:basedOn w:val="1"/>
    <w:autoRedefine/>
    <w:qFormat/>
    <w:uiPriority w:val="0"/>
    <w:pPr>
      <w:widowControl/>
      <w:spacing w:line="365" w:lineRule="atLeast"/>
      <w:ind w:left="1"/>
      <w:textAlignment w:val="bottom"/>
    </w:pPr>
    <w:rPr>
      <w:rFonts w:eastAsia="宋体"/>
      <w:kern w:val="0"/>
      <w:sz w:val="20"/>
    </w:rPr>
  </w:style>
  <w:style w:type="paragraph" w:customStyle="1" w:styleId="75">
    <w:name w:val=" Char"/>
    <w:basedOn w:val="1"/>
    <w:autoRedefine/>
    <w:qFormat/>
    <w:uiPriority w:val="0"/>
    <w:rPr>
      <w:rFonts w:ascii="仿宋_GB2312"/>
      <w:b/>
      <w:szCs w:val="32"/>
    </w:rPr>
  </w:style>
  <w:style w:type="paragraph" w:styleId="76">
    <w:name w:val="No Spacing"/>
    <w:basedOn w:val="1"/>
    <w:autoRedefine/>
    <w:qFormat/>
    <w:uiPriority w:val="1"/>
    <w:pPr>
      <w:snapToGrid w:val="0"/>
      <w:spacing w:afterLines="50"/>
    </w:pPr>
    <w:rPr>
      <w:rFonts w:ascii="微软雅黑" w:hAnsi="Calibri" w:eastAsia="微软雅黑" w:cs="Times New Roman"/>
      <w:szCs w:val="21"/>
    </w:rPr>
  </w:style>
  <w:style w:type="paragraph" w:customStyle="1" w:styleId="77">
    <w:name w:val="样式 样式1 + 首行缩进:  2 字符"/>
    <w:basedOn w:val="1"/>
    <w:autoRedefine/>
    <w:qFormat/>
    <w:uiPriority w:val="0"/>
    <w:pPr>
      <w:spacing w:line="360" w:lineRule="exact"/>
      <w:ind w:firstLine="420" w:firstLineChars="200"/>
    </w:pPr>
    <w:rPr>
      <w:rFonts w:ascii="Arial" w:hAnsi="Arial" w:cs="宋体"/>
      <w:szCs w:val="20"/>
    </w:rPr>
  </w:style>
  <w:style w:type="paragraph" w:customStyle="1" w:styleId="78">
    <w:name w:val="样式 标题 3 + Arial"/>
    <w:basedOn w:val="7"/>
    <w:autoRedefine/>
    <w:qFormat/>
    <w:uiPriority w:val="0"/>
    <w:pPr>
      <w:spacing w:before="312" w:beforeLines="100" w:after="0" w:afterLines="0" w:line="360" w:lineRule="auto"/>
    </w:pPr>
    <w:rPr>
      <w:rFonts w:ascii="Arial" w:hAnsi="Arial"/>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ZHANGG~1\LOCALS~1\Temp\Rar$DI00.734\&#22303;&#24314;&#31034;&#33539;&#25991;&#26412;3.0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土建示范文本3.05.dot</Template>
  <Pages>53</Pages>
  <Words>35558</Words>
  <Characters>37496</Characters>
  <Lines>299</Lines>
  <Paragraphs>84</Paragraphs>
  <TotalTime>45</TotalTime>
  <ScaleCrop>false</ScaleCrop>
  <LinksUpToDate>false</LinksUpToDate>
  <CharactersWithSpaces>40610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2007-08-06T01:42:00Z</dcterms:created>
  <dc:creator>yusuf</dc:creator>
  <cp:lastModifiedBy>海绵</cp:lastModifiedBy>
  <cp:lastPrinted>2024-10-12T06:35:00Z</cp:lastPrinted>
  <dcterms:modified xsi:type="dcterms:W3CDTF">2024-10-14T01:29:38Z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296D53217490438389754C3C2111718E_13</vt:lpwstr>
  </property>
</Properties>
</file>